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EDITAL DE LEILÃO</w:t>
      </w:r>
    </w:p>
    <w:p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1ª Vara do Trabalho de Contagem</w:t>
      </w:r>
    </w:p>
    <w:p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Rua Joaquim Rocha, n°13, Pilotis, Betânia-</w:t>
      </w:r>
    </w:p>
    <w:p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Contagem, CEP: 32.017-270.</w:t>
      </w:r>
    </w:p>
    <w:p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uppressAutoHyphens w:val="false"/>
        <w:spacing w:lineRule="auto" w:line="240" w:before="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t-BR"/>
        </w:rPr>
        <w:t>PROCESSO n</w:t>
      </w:r>
      <w:bookmarkStart w:id="0" w:name="_GoBack"/>
      <w:r>
        <w:rPr>
          <w:rFonts w:eastAsia="Times New Roman" w:cs="Times New Roman" w:ascii="Times New Roman" w:hAnsi="Times New Roman"/>
          <w:b/>
          <w:sz w:val="24"/>
          <w:szCs w:val="24"/>
          <w:lang w:eastAsia="pt-BR"/>
        </w:rPr>
        <w:t xml:space="preserve">°:  </w:t>
      </w:r>
      <w:r>
        <w:rPr>
          <w:rStyle w:val="Strong"/>
          <w:rFonts w:cs="Times New Roman" w:ascii="Times New Roman" w:hAnsi="Times New Roman"/>
          <w:sz w:val="24"/>
          <w:szCs w:val="24"/>
        </w:rPr>
        <w:t>0011072-82.2023.5.03.0029</w:t>
      </w:r>
      <w:r>
        <w:rPr>
          <w:rFonts w:cs="Times New Roman" w:ascii="Times New Roman" w:hAnsi="Times New Roman"/>
          <w:sz w:val="24"/>
          <w:szCs w:val="24"/>
        </w:rPr>
        <w:t xml:space="preserve"> </w:t>
      </w:r>
      <w:bookmarkEnd w:id="0"/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b/>
          <w:sz w:val="24"/>
          <w:szCs w:val="24"/>
        </w:rPr>
        <w:t xml:space="preserve">AUTOR: WANDERSON GOMES DA SILVA </w:t>
        <w:br/>
        <w:t>RÉU: NUTRIWAY FOODS INDUSTRIA ALIMENTICIA LTDA</w:t>
      </w:r>
    </w:p>
    <w:p>
      <w:pPr>
        <w:pStyle w:val="Normal"/>
        <w:suppressAutoHyphens w:val="false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uppressAutoHyphens w:val="fals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Em virtude da determinação judicial, fica convocado o presente leilão judicial, a ser realizado em </w:t>
      </w:r>
      <w:r>
        <w:rPr>
          <w:rFonts w:cs="Times New Roman" w:ascii="Times New Roman" w:hAnsi="Times New Roman"/>
          <w:b/>
          <w:bCs/>
          <w:sz w:val="24"/>
          <w:szCs w:val="24"/>
        </w:rPr>
        <w:t>duas praças públicas</w:t>
      </w:r>
      <w:r>
        <w:rPr>
          <w:rFonts w:cs="Times New Roman" w:ascii="Times New Roman" w:hAnsi="Times New Roman"/>
          <w:sz w:val="24"/>
          <w:szCs w:val="24"/>
        </w:rPr>
        <w:t>, conforme os detalhes abaixo:</w:t>
      </w:r>
    </w:p>
    <w:p>
      <w:pPr>
        <w:pStyle w:val="Normal"/>
        <w:suppressAutoHyphens w:val="fals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DATAS E LOCAIS DO LEILÃO</w:t>
      </w:r>
    </w:p>
    <w:p>
      <w:pPr>
        <w:pStyle w:val="Normal"/>
        <w:numPr>
          <w:ilvl w:val="0"/>
          <w:numId w:val="3"/>
        </w:numPr>
        <w:spacing w:lineRule="auto" w:line="259" w:before="0" w:after="160"/>
        <w:ind w:hanging="720" w:left="72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1º Leilão Virtual e Presencial</w:t>
      </w:r>
      <w:r>
        <w:rPr>
          <w:rFonts w:cs="Times New Roman" w:ascii="Times New Roman" w:hAnsi="Times New Roman"/>
          <w:sz w:val="24"/>
          <w:szCs w:val="24"/>
        </w:rPr>
        <w:br/>
        <w:t xml:space="preserve">Data e Hora: </w:t>
      </w:r>
      <w:r>
        <w:rPr>
          <w:rFonts w:cs="Times New Roman" w:ascii="Times New Roman" w:hAnsi="Times New Roman"/>
          <w:b/>
          <w:sz w:val="24"/>
          <w:szCs w:val="24"/>
        </w:rPr>
        <w:t>05/02/2026</w:t>
      </w:r>
      <w:r>
        <w:rPr>
          <w:rFonts w:cs="Times New Roman" w:ascii="Times New Roman" w:hAnsi="Times New Roman"/>
          <w:sz w:val="24"/>
          <w:szCs w:val="24"/>
        </w:rPr>
        <w:t xml:space="preserve">, às </w:t>
      </w:r>
      <w:r>
        <w:rPr>
          <w:rFonts w:cs="Times New Roman" w:ascii="Times New Roman" w:hAnsi="Times New Roman"/>
          <w:b/>
          <w:bCs/>
          <w:sz w:val="24"/>
          <w:szCs w:val="24"/>
        </w:rPr>
        <w:t>14:00</w:t>
      </w:r>
      <w:r>
        <w:rPr>
          <w:rFonts w:cs="Times New Roman" w:ascii="Times New Roman" w:hAnsi="Times New Roman"/>
          <w:sz w:val="24"/>
          <w:szCs w:val="24"/>
        </w:rPr>
        <w:t>.</w:t>
        <w:br/>
        <w:t>Local Presencial: Rua Sacadura Cabral, nº 680, Vila Oeste, Belo Horizonte/MG.</w:t>
        <w:br/>
        <w:t>Modalidade: Virtual e Presencial.</w:t>
      </w:r>
    </w:p>
    <w:p>
      <w:pPr>
        <w:pStyle w:val="Normal"/>
        <w:numPr>
          <w:ilvl w:val="0"/>
          <w:numId w:val="3"/>
        </w:numPr>
        <w:spacing w:lineRule="auto" w:line="259" w:before="0" w:after="160"/>
        <w:ind w:hanging="720" w:left="72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2º Leilão Virtual e Presencial</w:t>
      </w:r>
      <w:r>
        <w:rPr>
          <w:rFonts w:cs="Times New Roman" w:ascii="Times New Roman" w:hAnsi="Times New Roman"/>
          <w:sz w:val="24"/>
          <w:szCs w:val="24"/>
        </w:rPr>
        <w:br/>
        <w:t xml:space="preserve">Data e Hora: </w:t>
      </w:r>
      <w:r>
        <w:rPr>
          <w:rFonts w:cs="Times New Roman" w:ascii="Times New Roman" w:hAnsi="Times New Roman"/>
          <w:b/>
          <w:sz w:val="24"/>
          <w:szCs w:val="24"/>
        </w:rPr>
        <w:t>11/03/2026</w:t>
      </w:r>
      <w:r>
        <w:rPr>
          <w:rFonts w:cs="Times New Roman" w:ascii="Times New Roman" w:hAnsi="Times New Roman"/>
          <w:sz w:val="24"/>
          <w:szCs w:val="24"/>
        </w:rPr>
        <w:t xml:space="preserve">, às </w:t>
      </w:r>
      <w:r>
        <w:rPr>
          <w:rFonts w:cs="Times New Roman" w:ascii="Times New Roman" w:hAnsi="Times New Roman"/>
          <w:b/>
          <w:bCs/>
          <w:sz w:val="24"/>
          <w:szCs w:val="24"/>
        </w:rPr>
        <w:t>14:00</w:t>
      </w:r>
      <w:r>
        <w:rPr>
          <w:rFonts w:cs="Times New Roman" w:ascii="Times New Roman" w:hAnsi="Times New Roman"/>
          <w:sz w:val="24"/>
          <w:szCs w:val="24"/>
        </w:rPr>
        <w:t>.</w:t>
        <w:br/>
        <w:t>Local Presencial: Rua Sacadura Cabral, nº 680, Vila Oeste, Belo Horizonte/MG.</w:t>
        <w:br/>
        <w:t>Modalidade: Virtual e Presencial.</w:t>
      </w:r>
    </w:p>
    <w:p>
      <w:pPr>
        <w:pStyle w:val="NoSpacing"/>
        <w:jc w:val="both"/>
        <w:rPr>
          <w:rFonts w:ascii="Times New Roman" w:hAnsi="Times New Roman" w:cs="Times New Roman"/>
          <w:color w:val="FF0000"/>
          <w:sz w:val="24"/>
          <w:szCs w:val="24"/>
          <w:shd w:fill="FFFFFF" w:val="clear"/>
        </w:rPr>
      </w:pPr>
      <w:r>
        <w:rPr>
          <w:rFonts w:cs="Times New Roman" w:ascii="Times New Roman" w:hAnsi="Times New Roman"/>
          <w:color w:val="FF0000"/>
          <w:sz w:val="24"/>
          <w:szCs w:val="24"/>
          <w:shd w:fill="FFFFFF" w:val="clear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>
      <w:pPr>
        <w:pStyle w:val="NoSpacing"/>
        <w:jc w:val="both"/>
        <w:rPr>
          <w:rFonts w:ascii="Times New Roman" w:hAnsi="Times New Roman" w:cs="Times New Roman"/>
          <w:color w:val="FF0000"/>
          <w:sz w:val="24"/>
          <w:szCs w:val="24"/>
          <w:shd w:fill="FFFFFF" w:val="clear"/>
        </w:rPr>
      </w:pPr>
      <w:r>
        <w:rPr>
          <w:rFonts w:cs="Times New Roman" w:ascii="Times New Roman" w:hAnsi="Times New Roman"/>
          <w:color w:val="FF0000"/>
          <w:sz w:val="24"/>
          <w:szCs w:val="24"/>
          <w:shd w:fill="FFFFFF" w:val="clear"/>
        </w:rPr>
      </w:r>
    </w:p>
    <w:p>
      <w:pPr>
        <w:pStyle w:val="NoSpacing"/>
        <w:jc w:val="both"/>
        <w:rPr>
          <w:rFonts w:ascii="Times New Roman" w:hAnsi="Times New Roman" w:cs="Times New Roman"/>
          <w:b/>
          <w:color w:val="FF0000"/>
          <w:sz w:val="24"/>
          <w:szCs w:val="24"/>
          <w:shd w:fill="FFFFFF" w:val="clear"/>
        </w:rPr>
      </w:pPr>
      <w:r>
        <w:rPr>
          <w:rFonts w:cs="Times New Roman" w:ascii="Times New Roman" w:hAnsi="Times New Roman"/>
          <w:b/>
          <w:sz w:val="24"/>
          <w:szCs w:val="24"/>
          <w:highlight w:val="yellow"/>
        </w:rPr>
        <w:t>TRATANDO-SE DE PENHORA DE VÁRIOS BENS, PODERÁ A ARREMATAÇÃO VERSAR SOBRE UM OU A TOTALIDADE DELES.</w:t>
      </w:r>
    </w:p>
    <w:p>
      <w:pPr>
        <w:pStyle w:val="NormalWeb"/>
        <w:spacing w:before="280" w:after="280"/>
        <w:jc w:val="both"/>
        <w:rPr/>
      </w:pPr>
      <w:r>
        <w:rPr>
          <w:b/>
          <w:bCs/>
        </w:rPr>
        <w:t xml:space="preserve">DESCRIÇÃO DO BEM: LOTE 01 - </w:t>
      </w:r>
      <w:r>
        <w:rPr/>
        <w:t xml:space="preserve">veículo tipo Fiat Fiorino Flex Furgão, cor branca, ano 2008, placas HJK 9342, </w:t>
      </w:r>
      <w:r>
        <w:rPr/>
        <w:t xml:space="preserve">Chassi 9BD25504988837886, </w:t>
      </w:r>
      <w:r>
        <w:rPr/>
        <w:t xml:space="preserve"> com avarias em sua lataria, em funcionamento, quilometragem em 305822, avaliado em R$ 25.000,00 (vinte e cinco mil reais) </w:t>
      </w:r>
    </w:p>
    <w:p>
      <w:pPr>
        <w:pStyle w:val="NormalWeb"/>
        <w:spacing w:before="280" w:after="280"/>
        <w:jc w:val="both"/>
        <w:rPr/>
      </w:pPr>
      <w:r>
        <w:rPr>
          <w:b/>
        </w:rPr>
        <w:t>LOTE 2-</w:t>
      </w:r>
      <w:r>
        <w:rPr/>
        <w:t xml:space="preserve">  140 sacos de açúcar, matéria prima, safra de julho de 2025, </w:t>
      </w:r>
      <w:r>
        <w:rPr>
          <w:rStyle w:val="Strong"/>
          <w:u w:val="single"/>
        </w:rPr>
        <w:t>com validade de 24 meses</w:t>
      </w:r>
      <w:r>
        <w:rPr/>
        <w:t>, conforme declaração, avaliado o quilo em R$ 5,00 (cinco reais), cada saco contendo 50 kg, totalizando o valor de R$ 35.000,00 (trinta e cinco mil reais).</w:t>
      </w:r>
    </w:p>
    <w:p>
      <w:pPr>
        <w:pStyle w:val="NormalWeb"/>
        <w:spacing w:before="280" w:after="280"/>
        <w:jc w:val="both"/>
        <w:rPr/>
      </w:pPr>
      <w:r>
        <w:rPr/>
        <w:t>Total da avaliação: R$ 60.000,00 (sessenta mil reais). </w:t>
      </w:r>
    </w:p>
    <w:p>
      <w:pPr>
        <w:pStyle w:val="NormalWeb"/>
        <w:spacing w:before="280" w:after="280"/>
        <w:jc w:val="both"/>
        <w:rPr/>
      </w:pPr>
      <w:r>
        <w:rPr/>
        <w:t xml:space="preserve">Localização: RUA PETUNIA, 347, CHACARAS BOA VISTA, CONTAGEM-MG. </w:t>
      </w:r>
    </w:p>
    <w:p>
      <w:pPr>
        <w:pStyle w:val="Normal"/>
        <w:suppressAutoHyphens w:val="false"/>
        <w:spacing w:lineRule="auto" w:line="240" w:beforeAutospacing="1" w:afterAutospacing="1"/>
        <w:rPr>
          <w:rFonts w:ascii="Times New Roman" w:hAnsi="Times New Roman" w:cs="Times New Roman"/>
          <w:sz w:val="24"/>
          <w:szCs w:val="24"/>
        </w:rPr>
      </w:pPr>
      <w:r>
        <w:rPr>
          <w:rStyle w:val="Strong"/>
          <w:rFonts w:cs="Times New Roman" w:ascii="Times New Roman" w:hAnsi="Times New Roman"/>
          <w:sz w:val="24"/>
          <w:szCs w:val="24"/>
        </w:rPr>
        <w:t>OBSERVAÇÕES:</w:t>
      </w:r>
    </w:p>
    <w:p>
      <w:pPr>
        <w:pStyle w:val="NormalWeb"/>
        <w:numPr>
          <w:ilvl w:val="0"/>
          <w:numId w:val="5"/>
        </w:numPr>
        <w:spacing w:lineRule="auto" w:line="276" w:before="280" w:after="0"/>
        <w:jc w:val="both"/>
        <w:rPr>
          <w:rFonts w:eastAsia="SimSun"/>
          <w:bCs/>
          <w:shd w:fill="FEFFFE" w:val="clear"/>
          <w:lang w:eastAsia="zh-CN" w:bidi="hi-IN"/>
        </w:rPr>
      </w:pPr>
      <w:r>
        <w:rPr/>
        <w:t>O leilão estará a cargo do leiloeiro oficial Arnaldo Emílio Colombarolli, matrícula Jucemg Nº 813 (</w:t>
      </w:r>
      <w:hyperlink r:id="rId2">
        <w:r>
          <w:rPr>
            <w:rStyle w:val="Hyperlink"/>
            <w:rFonts w:eastAsia="SimSun"/>
            <w:color w:val="auto"/>
            <w:u w:val="none"/>
          </w:rPr>
          <w:t>www.arnaldoleiloes.com.br</w:t>
        </w:r>
      </w:hyperlink>
      <w:r>
        <w:rPr/>
        <w:t>) e será realizado no local, data e horário acima especificados.</w:t>
      </w:r>
    </w:p>
    <w:p>
      <w:pPr>
        <w:pStyle w:val="NormalWeb"/>
        <w:numPr>
          <w:ilvl w:val="0"/>
          <w:numId w:val="6"/>
        </w:numPr>
        <w:spacing w:lineRule="auto" w:line="276" w:before="280" w:after="0"/>
        <w:jc w:val="both"/>
        <w:rPr>
          <w:rFonts w:eastAsia="SimSun"/>
          <w:bCs/>
          <w:shd w:fill="FEFFFE" w:val="clear"/>
          <w:lang w:eastAsia="zh-CN" w:bidi="hi-IN"/>
        </w:rPr>
      </w:pPr>
      <w:r>
        <w:rPr>
          <w:color w:val="000000"/>
        </w:rPr>
        <w:t>Fixado o preço mínimo da alienação em 30% do valor da avaliação do bem constrito em se tratando de bem móvel e em 50% do valor da avaliação em se tratando de bem imóvel.</w:t>
      </w:r>
    </w:p>
    <w:p>
      <w:pPr>
        <w:pStyle w:val="NormalWeb"/>
        <w:numPr>
          <w:ilvl w:val="0"/>
          <w:numId w:val="7"/>
        </w:numPr>
        <w:spacing w:lineRule="auto" w:line="276" w:before="0" w:after="0"/>
        <w:jc w:val="both"/>
        <w:rPr>
          <w:rFonts w:eastAsia="SimSun"/>
          <w:bCs/>
          <w:shd w:fill="FEFFFE" w:val="clear"/>
          <w:lang w:eastAsia="zh-CN" w:bidi="hi-IN"/>
        </w:rPr>
      </w:pPr>
      <w:r>
        <w:rPr/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>
      <w:pPr>
        <w:pStyle w:val="NormalWeb"/>
        <w:numPr>
          <w:ilvl w:val="0"/>
          <w:numId w:val="8"/>
        </w:numPr>
        <w:spacing w:lineRule="auto" w:line="276" w:before="0" w:after="0"/>
        <w:jc w:val="both"/>
        <w:rPr>
          <w:lang w:eastAsia="zh-CN" w:bidi="hi-IN"/>
        </w:rPr>
      </w:pPr>
      <w:r>
        <w:rPr>
          <w:rFonts w:eastAsia="SimSun"/>
          <w:shd w:fill="FEFFFE" w:val="clear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zh-CN" w:bidi="hi-IN"/>
        </w:rPr>
      </w:pPr>
      <w:r>
        <w:rPr>
          <w:rFonts w:cs="Times New Roman" w:ascii="Times New Roman" w:hAnsi="Times New Roman"/>
          <w:sz w:val="24"/>
          <w:szCs w:val="24"/>
        </w:rPr>
        <w:t xml:space="preserve">O valor da arrematação deverá ser quitado preferencialmente à vista, </w:t>
      </w:r>
      <w:r>
        <w:rPr>
          <w:rFonts w:cs="Times New Roman" w:ascii="Times New Roman" w:hAnsi="Times New Roman"/>
          <w:b/>
          <w:sz w:val="24"/>
          <w:szCs w:val="24"/>
        </w:rPr>
        <w:t>mediante depósito à disposição do Juízo,</w:t>
      </w:r>
      <w:r>
        <w:rPr>
          <w:rFonts w:cs="Times New Roman" w:ascii="Times New Roman" w:hAnsi="Times New Roman"/>
          <w:sz w:val="24"/>
          <w:szCs w:val="24"/>
        </w:rPr>
        <w:t xml:space="preserve"> nos termos do art. 245, §1º do Provimento Geral Consolidado/TRT-3ª Região.</w:t>
      </w:r>
    </w:p>
    <w:p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Caso desfeita a arrematação, ou deferida a remição ou adjudicação, os valores depositados serão restituídos ao arrematante, inclusive a comissão do(a) leiloeiro(a), se for o caso.</w:t>
      </w:r>
    </w:p>
    <w:p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Não será devida comissão ao(à) leiloeiro(a) na hipótese de desistência de que trata o art. 775/CPC, anulação ou ineficácia da arrematação, ou resultado negativo da hasta pública.</w:t>
      </w:r>
    </w:p>
    <w:p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>
      <w:pPr>
        <w:pStyle w:val="ListParagraph"/>
        <w:numPr>
          <w:ilvl w:val="0"/>
          <w:numId w:val="13"/>
        </w:numPr>
        <w:jc w:val="both"/>
        <w:rPr>
          <w:rStyle w:val="Strong"/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Style w:val="Strong"/>
          <w:rFonts w:cs="Times New Roman" w:ascii="Times New Roman" w:hAnsi="Times New Roman"/>
          <w:sz w:val="24"/>
          <w:szCs w:val="24"/>
        </w:rPr>
        <w:t>Havendo acordo, remição, após a realização da alienação, o (a) leiloeiro(a) fará jus à comissão (art. 246, § ºo do Provimento Geral Consolidado/TRT-3ª Região).</w:t>
      </w:r>
    </w:p>
    <w:p>
      <w:pPr>
        <w:pStyle w:val="ListParagraph"/>
        <w:numPr>
          <w:ilvl w:val="0"/>
          <w:numId w:val="14"/>
        </w:numPr>
        <w:jc w:val="both"/>
        <w:rPr>
          <w:rStyle w:val="Strong"/>
          <w:rFonts w:ascii="Times New Roman" w:hAnsi="Times New Roman" w:cs="Times New Roman"/>
          <w:b w:val="false"/>
          <w:bCs w:val="false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>
      <w:pPr>
        <w:pStyle w:val="ListParagraph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eastAsia="zh-CN" w:bidi="hi-IN"/>
        </w:rPr>
      </w:pPr>
      <w:r>
        <w:rPr>
          <w:rFonts w:eastAsia="SimSun" w:cs="Times New Roman" w:ascii="Times New Roman" w:hAnsi="Times New Roman"/>
          <w:sz w:val="24"/>
          <w:szCs w:val="24"/>
          <w:shd w:fill="FEFFFE" w:val="clear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>
        <w:rPr>
          <w:rFonts w:eastAsia="SimSun" w:cs="Times New Roman" w:ascii="Times New Roman" w:hAnsi="Times New Roman"/>
          <w:b/>
          <w:sz w:val="24"/>
          <w:szCs w:val="24"/>
          <w:shd w:fill="FEFFFE" w:val="clear"/>
          <w:lang w:eastAsia="zh-CN" w:bidi="he-IL"/>
        </w:rPr>
        <w:t xml:space="preserve"> ainda que não expressos no edital.</w:t>
      </w:r>
      <w:r>
        <w:rPr>
          <w:rFonts w:eastAsia="SimSun" w:cs="Times New Roman" w:ascii="Times New Roman" w:hAnsi="Times New Roman"/>
          <w:b/>
          <w:sz w:val="24"/>
          <w:szCs w:val="24"/>
          <w:shd w:fill="FEFFFE" w:val="clear"/>
          <w:lang w:eastAsia="zh-CN" w:bidi="hi-IN"/>
        </w:rPr>
        <w:t xml:space="preserve"> </w:t>
      </w:r>
    </w:p>
    <w:p>
      <w:pPr>
        <w:pStyle w:val="ListParagraph"/>
        <w:numPr>
          <w:ilvl w:val="0"/>
          <w:numId w:val="16"/>
        </w:numPr>
        <w:tabs>
          <w:tab w:val="clear" w:pos="708"/>
          <w:tab w:val="left" w:pos="851" w:leader="none"/>
        </w:tabs>
        <w:jc w:val="both"/>
        <w:rPr>
          <w:rFonts w:ascii="Times New Roman" w:hAnsi="Times New Roman" w:cs="Times New Roman"/>
          <w:b/>
          <w:sz w:val="24"/>
          <w:szCs w:val="24"/>
          <w:lang w:eastAsia="zh-CN" w:bidi="hi-IN"/>
        </w:rPr>
      </w:pPr>
      <w:r>
        <w:rPr>
          <w:rFonts w:cs="Times New Roman" w:ascii="Times New Roman" w:hAnsi="Times New Roman"/>
          <w:sz w:val="24"/>
          <w:szCs w:val="24"/>
        </w:rPr>
        <w:t>O(s) bem(ns) será(ão) vendido(s) no estado de conservação em que se encontra(m), sem garantia, constituindo ônus do interessado verificar suas condições e todas as despesas inerentes ao(s) bem(ns) arrematado(s), que ficarão a cargo do arrematante, inclusive valores devidos a título de IPTU, IPVA, taxas, multas, ainda que não expressos no edital, devendo as informações ser requeridas pelo interessado diretamente aos órgãos competentes, vedada a sub-rogação prevista no § único, do art. 130 do CTN.</w:t>
      </w:r>
    </w:p>
    <w:p>
      <w:pPr>
        <w:pStyle w:val="ListParagraph"/>
        <w:numPr>
          <w:ilvl w:val="0"/>
          <w:numId w:val="17"/>
        </w:numPr>
        <w:tabs>
          <w:tab w:val="clear" w:pos="708"/>
          <w:tab w:val="left" w:pos="851" w:leader="none"/>
        </w:tabs>
        <w:jc w:val="both"/>
        <w:rPr>
          <w:rFonts w:ascii="Times New Roman" w:hAnsi="Times New Roman" w:cs="Times New Roman"/>
          <w:b/>
          <w:sz w:val="24"/>
          <w:szCs w:val="24"/>
          <w:lang w:eastAsia="zh-CN" w:bidi="hi-IN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Tratando-se de bem imóvel, admite-se o pagamento da arrematação na forma do art. 895, § 1º do CPC, com a ressalva de que a proposta deverá conter, em qualquer hipótese, oferta de pagamento de pelo menos 25% (vinte e cinco por cento) do valor do lance à vista e o restante parcelado em até 12 (doze) meses, garantido por hipoteca do próprio bem.</w:t>
      </w:r>
    </w:p>
    <w:p>
      <w:pPr>
        <w:pStyle w:val="ListParagraph"/>
        <w:numPr>
          <w:ilvl w:val="0"/>
          <w:numId w:val="18"/>
        </w:numPr>
        <w:tabs>
          <w:tab w:val="clear" w:pos="708"/>
          <w:tab w:val="left" w:pos="709" w:leader="none"/>
          <w:tab w:val="left" w:pos="851" w:leader="none"/>
        </w:tabs>
        <w:jc w:val="both"/>
        <w:rPr>
          <w:rFonts w:ascii="Times New Roman" w:hAnsi="Times New Roman" w:cs="Times New Roman"/>
          <w:b/>
          <w:sz w:val="24"/>
          <w:szCs w:val="24"/>
          <w:lang w:eastAsia="zh-CN" w:bidi="hi-IN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O(s) bem(ns) será(ão) vendido(s) no estado de conservação em que se encontra(m), sem garantia, constituindo ônus do interessado verificar suas condições.</w:t>
      </w:r>
    </w:p>
    <w:p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Encerrado o leilão, o preço total deverá ser depositado pelo Arrematante no prazo de no máximo 2(dois)dias. </w:t>
      </w:r>
    </w:p>
    <w:p>
      <w:pPr>
        <w:pStyle w:val="ListParagraph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Caso haja a desistência da arrematação fora das hipóteses legalmente previstas, </w:t>
      </w:r>
      <w:r>
        <w:rPr>
          <w:rFonts w:cs="Times New Roman" w:ascii="Times New Roman" w:hAnsi="Times New Roman"/>
          <w:b/>
          <w:sz w:val="24"/>
          <w:szCs w:val="24"/>
        </w:rPr>
        <w:t>o Arrematante poderá ser multado</w:t>
      </w:r>
      <w:r>
        <w:rPr>
          <w:rFonts w:cs="Times New Roman" w:ascii="Times New Roman" w:hAnsi="Times New Roman"/>
          <w:sz w:val="24"/>
          <w:szCs w:val="24"/>
        </w:rPr>
        <w:t xml:space="preserve">, nos termos da lei, sem prejuízo do pagamento da comissão do leiloeiro. </w:t>
      </w:r>
    </w:p>
    <w:p>
      <w:pPr>
        <w:pStyle w:val="ListParagraph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Não será devolvido o valor da comissão, se, por culpa do Arrematante, a arrematação for anulada, invalidada, resolvida ou considerada ineficaz.</w:t>
      </w:r>
    </w:p>
    <w:p>
      <w:pPr>
        <w:pStyle w:val="ListParagraph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Se o valor de arrematação for superior ao crédito do exequente, a comissão do leiloeiro público, bem como as despesas com remoção, guarda e conservação dos bens, poderão ser deduzidas do produto da arrematação.</w:t>
      </w:r>
    </w:p>
    <w:p>
      <w:pPr>
        <w:pStyle w:val="ListParagraph"/>
        <w:numPr>
          <w:ilvl w:val="0"/>
          <w:numId w:val="23"/>
        </w:numPr>
        <w:tabs>
          <w:tab w:val="clear" w:pos="708"/>
          <w:tab w:val="left" w:pos="851" w:leader="none"/>
        </w:tabs>
        <w:spacing w:before="0" w:after="0"/>
        <w:contextualSpacing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>
      <w:pPr>
        <w:pStyle w:val="ListParagraph"/>
        <w:numPr>
          <w:ilvl w:val="0"/>
          <w:numId w:val="24"/>
        </w:numPr>
        <w:tabs>
          <w:tab w:val="clear" w:pos="708"/>
          <w:tab w:val="left" w:pos="851" w:leader="none"/>
        </w:tabs>
        <w:spacing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Ficam desde já intimadas às partes, os coproprietários, seus cônjuges, se casados forem, eventuais credores Hipotecários ou Fiduciários e credores com penhoras averbadas.</w:t>
      </w:r>
    </w:p>
    <w:p>
      <w:pPr>
        <w:pStyle w:val="ListParagraph"/>
        <w:numPr>
          <w:ilvl w:val="0"/>
          <w:numId w:val="25"/>
        </w:numPr>
        <w:tabs>
          <w:tab w:val="clear" w:pos="708"/>
          <w:tab w:val="left" w:pos="851" w:leader="none"/>
        </w:tabs>
        <w:spacing w:before="0" w:after="0"/>
        <w:contextualSpacing/>
        <w:jc w:val="both"/>
        <w:rPr>
          <w:rFonts w:ascii="Times New Roman" w:hAnsi="Times New Roman" w:eastAsia="SimSun" w:cs="Times New Roman"/>
          <w:b/>
          <w:sz w:val="24"/>
          <w:szCs w:val="24"/>
          <w:shd w:fill="FEFFFE" w:val="clear"/>
          <w:lang w:eastAsia="zh-CN" w:bidi="he-IL"/>
        </w:rPr>
      </w:pPr>
      <w:r>
        <w:rPr>
          <w:rFonts w:cs="Times New Roman" w:ascii="Times New Roman" w:hAnsi="Times New Roman"/>
          <w:sz w:val="24"/>
          <w:szCs w:val="24"/>
        </w:rPr>
        <w:t xml:space="preserve">Fica(m), por este, intimado(s) o(s) devedor(es) e/ou depositário(s) não localizado(s). </w:t>
      </w:r>
    </w:p>
    <w:p>
      <w:pPr>
        <w:pStyle w:val="ListParagraph"/>
        <w:numPr>
          <w:ilvl w:val="0"/>
          <w:numId w:val="26"/>
        </w:numPr>
        <w:tabs>
          <w:tab w:val="clear" w:pos="708"/>
          <w:tab w:val="left" w:pos="851" w:leader="none"/>
        </w:tabs>
        <w:spacing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A arrematação somente será concluída após a homologação pelo MM Juiz da vara competente. </w:t>
      </w:r>
    </w:p>
    <w:p>
      <w:pPr>
        <w:pStyle w:val="ListParagraph"/>
        <w:numPr>
          <w:ilvl w:val="0"/>
          <w:numId w:val="27"/>
        </w:numPr>
        <w:tabs>
          <w:tab w:val="clear" w:pos="708"/>
          <w:tab w:val="left" w:pos="851" w:leader="none"/>
        </w:tabs>
        <w:spacing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LEIA O EDITAL, NA DÚVIDA É O QUE VALE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20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2"/>
    <w:lvlOverride w:ilvl="0">
      <w:startOverride w:val="1"/>
    </w:lvlOverride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2"/>
  </w:num>
  <w:num w:numId="12">
    <w:abstractNumId w:val="2"/>
  </w:num>
  <w:num w:numId="13">
    <w:abstractNumId w:val="2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  <w:num w:numId="20">
    <w:abstractNumId w:val="2"/>
  </w:num>
  <w:num w:numId="21">
    <w:abstractNumId w:val="2"/>
  </w:num>
  <w:num w:numId="22">
    <w:abstractNumId w:val="2"/>
  </w:num>
  <w:num w:numId="23">
    <w:abstractNumId w:val="2"/>
  </w:num>
  <w:num w:numId="24">
    <w:abstractNumId w:val="2"/>
  </w:num>
  <w:num w:numId="25">
    <w:abstractNumId w:val="2"/>
  </w:num>
  <w:num w:numId="26">
    <w:abstractNumId w:val="2"/>
  </w:num>
  <w:num w:numId="27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051c3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semiHidden/>
    <w:unhideWhenUsed/>
    <w:rsid w:val="002051c3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2051c3"/>
    <w:rPr>
      <w:b/>
      <w:b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unhideWhenUsed/>
    <w:qFormat/>
    <w:rsid w:val="002051c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ListParagraph">
    <w:name w:val="List Paragraph"/>
    <w:basedOn w:val="Normal"/>
    <w:uiPriority w:val="34"/>
    <w:qFormat/>
    <w:rsid w:val="002051c3"/>
    <w:pPr>
      <w:spacing w:before="0" w:after="200"/>
      <w:ind w:left="720"/>
      <w:contextualSpacing/>
    </w:pPr>
    <w:rPr/>
  </w:style>
  <w:style w:type="paragraph" w:styleId="NoSpacing">
    <w:name w:val="No Spacing"/>
    <w:uiPriority w:val="1"/>
    <w:qFormat/>
    <w:rsid w:val="002051c3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/>
      <w:color w:val="auto"/>
      <w:kern w:val="2"/>
      <w:sz w:val="22"/>
      <w:szCs w:val="22"/>
      <w:lang w:val="pt-BR" w:eastAsia="en-US" w:bidi="ar-SA"/>
      <w14:ligatures w14:val="standardContextual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arnaldoleiloes.com.br/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Application>LibreOffice/25.2.7.2$Windows_X86_64 LibreOffice_project/5cbfd1ab6520636bb5f7b99185aa69bd7456825d</Application>
  <AppVersion>15.0000</AppVersion>
  <Pages>4</Pages>
  <Words>1077</Words>
  <Characters>5832</Characters>
  <CharactersWithSpaces>6865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2025-12-19T12:42:00Z</dcterms:created>
  <dc:creator>Dep_pessoal8</dc:creator>
  <dc:description/>
  <dc:language>pt-BR</dc:language>
  <cp:lastModifiedBy/>
  <dcterms:modified xsi:type="dcterms:W3CDTF">2025-12-29T08:22:39Z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