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C9C" w:rsidRDefault="00B97D0B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EDITAL DE LEILÃO</w:t>
      </w:r>
    </w:p>
    <w:p w:rsidR="002C7C9C" w:rsidRDefault="00B97D0B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42ª Vara do Trabalho de Belo Horizonte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 xml:space="preserve">RUA DOS GOITACAZES, 1475, BARRO PRETO, BELO HORIZONTE/MG </w:t>
      </w:r>
    </w:p>
    <w:p w:rsidR="002C7C9C" w:rsidRDefault="00B97D0B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TEL.: (31) 33307542 – E-MAIL: varabh42@trt3.jus.br</w:t>
      </w:r>
    </w:p>
    <w:p w:rsidR="002C7C9C" w:rsidRDefault="002C7C9C">
      <w:pPr>
        <w:pStyle w:val="SemEspaamento"/>
        <w:rPr>
          <w:rFonts w:ascii="Times New Roman" w:hAnsi="Times New Roman" w:cs="Times New Roman"/>
          <w:b/>
          <w:bCs/>
          <w:sz w:val="24"/>
          <w:szCs w:val="24"/>
        </w:rPr>
      </w:pPr>
    </w:p>
    <w:p w:rsidR="002C7C9C" w:rsidRDefault="00B97D0B">
      <w:p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PROCESSO: </w:t>
      </w:r>
      <w:r>
        <w:rPr>
          <w:rStyle w:val="Forte"/>
          <w:rFonts w:ascii="Times New Roman" w:hAnsi="Times New Roman" w:cs="Times New Roman"/>
          <w:sz w:val="24"/>
          <w:szCs w:val="24"/>
        </w:rPr>
        <w:t>0011039-27.2023.5.03.0180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EXEQUENTE: MINISTÉRIO PÚBLICO DO TRABALHO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EXECUTADO: BABY BEEF BH LTDA </w:t>
      </w:r>
    </w:p>
    <w:p w:rsidR="002C7C9C" w:rsidRDefault="00B97D0B">
      <w:pPr>
        <w:suppressAutoHyphens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DATAS E LOCAIS DOS LEILÕES </w:t>
      </w:r>
    </w:p>
    <w:p w:rsidR="002C7C9C" w:rsidRDefault="00B97D0B">
      <w:pPr>
        <w:numPr>
          <w:ilvl w:val="0"/>
          <w:numId w:val="1"/>
        </w:numPr>
        <w:tabs>
          <w:tab w:val="clear" w:pos="720"/>
          <w:tab w:val="left" w:pos="426"/>
        </w:tabs>
        <w:ind w:left="284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1º Leilão Virtual e Presencial</w:t>
      </w:r>
      <w:r>
        <w:rPr>
          <w:rFonts w:ascii="Times New Roman" w:hAnsi="Times New Roman" w:cs="Times New Roman"/>
          <w:sz w:val="24"/>
          <w:szCs w:val="24"/>
        </w:rPr>
        <w:br/>
        <w:t>Data e Hora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83173F">
        <w:rPr>
          <w:rFonts w:ascii="Times New Roman" w:hAnsi="Times New Roman" w:cs="Times New Roman"/>
          <w:b/>
          <w:sz w:val="24"/>
          <w:szCs w:val="24"/>
        </w:rPr>
        <w:t xml:space="preserve"> 05/02</w:t>
      </w:r>
      <w:r>
        <w:rPr>
          <w:rFonts w:ascii="Times New Roman" w:hAnsi="Times New Roman" w:cs="Times New Roman"/>
          <w:b/>
          <w:sz w:val="24"/>
          <w:szCs w:val="24"/>
        </w:rPr>
        <w:t xml:space="preserve">/2026, </w:t>
      </w:r>
      <w:r>
        <w:rPr>
          <w:rFonts w:ascii="Times New Roman" w:hAnsi="Times New Roman" w:cs="Times New Roman"/>
          <w:sz w:val="24"/>
          <w:szCs w:val="24"/>
        </w:rPr>
        <w:t xml:space="preserve">às </w:t>
      </w:r>
      <w:r>
        <w:rPr>
          <w:rFonts w:ascii="Times New Roman" w:hAnsi="Times New Roman" w:cs="Times New Roman"/>
          <w:b/>
          <w:bCs/>
          <w:sz w:val="24"/>
          <w:szCs w:val="24"/>
        </w:rPr>
        <w:t>14h00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/>
        <w:t>Local Presencial: Rua Sacadura Cabral, nº 680, Vila Oeste, Belo Horizonte/MG.</w:t>
      </w:r>
      <w:r>
        <w:rPr>
          <w:rFonts w:ascii="Times New Roman" w:hAnsi="Times New Roman" w:cs="Times New Roman"/>
          <w:sz w:val="24"/>
          <w:szCs w:val="24"/>
        </w:rPr>
        <w:br/>
        <w:t>Modalidade: Virtual e Presencial.</w:t>
      </w:r>
    </w:p>
    <w:p w:rsidR="002C7C9C" w:rsidRDefault="00B97D0B">
      <w:pPr>
        <w:numPr>
          <w:ilvl w:val="0"/>
          <w:numId w:val="1"/>
        </w:numPr>
        <w:pBdr>
          <w:bottom w:val="single" w:sz="4" w:space="1" w:color="000000"/>
        </w:pBdr>
        <w:tabs>
          <w:tab w:val="clear" w:pos="720"/>
        </w:tabs>
        <w:ind w:left="284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2º Leilão Virtual e </w:t>
      </w:r>
      <w:r>
        <w:rPr>
          <w:rFonts w:ascii="Times New Roman" w:hAnsi="Times New Roman" w:cs="Times New Roman"/>
          <w:b/>
          <w:bCs/>
          <w:sz w:val="24"/>
          <w:szCs w:val="24"/>
        </w:rPr>
        <w:t>Presencial</w:t>
      </w:r>
      <w:r>
        <w:rPr>
          <w:rFonts w:ascii="Times New Roman" w:hAnsi="Times New Roman" w:cs="Times New Roman"/>
          <w:sz w:val="24"/>
          <w:szCs w:val="24"/>
        </w:rPr>
        <w:br/>
        <w:t xml:space="preserve">Data e Hora: </w:t>
      </w:r>
      <w:r w:rsidR="0083173F" w:rsidRPr="0083173F">
        <w:rPr>
          <w:rFonts w:ascii="Times New Roman" w:hAnsi="Times New Roman" w:cs="Times New Roman"/>
          <w:b/>
          <w:sz w:val="24"/>
          <w:szCs w:val="24"/>
        </w:rPr>
        <w:t>11/03</w:t>
      </w:r>
      <w:r w:rsidRPr="0083173F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às </w:t>
      </w:r>
      <w:r>
        <w:rPr>
          <w:rFonts w:ascii="Times New Roman" w:hAnsi="Times New Roman" w:cs="Times New Roman"/>
          <w:b/>
          <w:bCs/>
          <w:sz w:val="24"/>
          <w:szCs w:val="24"/>
        </w:rPr>
        <w:t>14:15h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/>
        <w:t>Local Presencial: Rua Sacadura Cabral, nº 680, Vila Oeste, Belo Horizonte/MG.</w:t>
      </w:r>
      <w:r>
        <w:rPr>
          <w:rFonts w:ascii="Times New Roman" w:hAnsi="Times New Roman" w:cs="Times New Roman"/>
          <w:sz w:val="24"/>
          <w:szCs w:val="24"/>
        </w:rPr>
        <w:br/>
        <w:t>Modalidade: Virtual e Presencial.</w:t>
      </w:r>
    </w:p>
    <w:p w:rsidR="002C7C9C" w:rsidRDefault="00B97D0B">
      <w:pPr>
        <w:pBdr>
          <w:bottom w:val="single" w:sz="4" w:space="1" w:color="000000"/>
        </w:pBdr>
        <w:jc w:val="both"/>
        <w:rPr>
          <w:rStyle w:val="Forte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O leilão começará às 14:00 horas, seguindo a ordem dos lotes. Cada lote será encerrado imediatame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nte após o recebimento do maior lance ou, se não houver lances, ao final do </w:t>
      </w:r>
      <w:proofErr w:type="gramStart"/>
      <w:r>
        <w:rPr>
          <w:rFonts w:ascii="Times New Roman" w:hAnsi="Times New Roman" w:cs="Times New Roman"/>
          <w:color w:val="FF0000"/>
          <w:sz w:val="24"/>
          <w:szCs w:val="24"/>
        </w:rPr>
        <w:t>tempo</w:t>
      </w:r>
      <w:proofErr w:type="gramEnd"/>
      <w:r>
        <w:rPr>
          <w:rFonts w:ascii="Times New Roman" w:hAnsi="Times New Roman" w:cs="Times New Roman"/>
          <w:color w:val="FF0000"/>
          <w:sz w:val="24"/>
          <w:szCs w:val="24"/>
        </w:rPr>
        <w:t xml:space="preserve"> estipulado para aquele lote. O leilão pode ser encerrado antes das 16:00 horas, caso todos os lotes sejam finalizados antes deste horário.</w:t>
      </w:r>
    </w:p>
    <w:p w:rsidR="00B97D0B" w:rsidRDefault="00B97D0B" w:rsidP="00B97D0B">
      <w:pPr>
        <w:pStyle w:val="NormalWeb"/>
        <w:spacing w:before="280" w:after="280"/>
        <w:jc w:val="both"/>
        <w:rPr>
          <w:rStyle w:val="Forte"/>
        </w:rPr>
      </w:pPr>
      <w:r>
        <w:rPr>
          <w:rStyle w:val="Forte"/>
          <w:rFonts w:eastAsiaTheme="majorEastAsia"/>
        </w:rPr>
        <w:t xml:space="preserve">DESCRIÇÃO DO BEM PENHORADO: </w:t>
      </w:r>
      <w:r>
        <w:rPr>
          <w:rStyle w:val="Forte"/>
        </w:rPr>
        <w:t xml:space="preserve">LOTE 1- </w:t>
      </w:r>
      <w:r>
        <w:rPr>
          <w:rStyle w:val="Forte"/>
        </w:rPr>
        <w:t xml:space="preserve">Veículo CAR/CAMINHONETE/FURGÃO FIAT/FIORINO 1.4 FLEX, ANO 2014, MODELO 2014, PLACA OXH5913, CHASSI 9BD265122E9007592, COR PRETA, em regular estado de conservação, funcionando, avaliado em R$37.000,00 (trinta e sete mil reais). </w:t>
      </w:r>
    </w:p>
    <w:p w:rsidR="0083173F" w:rsidRDefault="00B97D0B" w:rsidP="00B97D0B">
      <w:pPr>
        <w:pStyle w:val="NormalWeb"/>
        <w:spacing w:before="280" w:after="280"/>
        <w:jc w:val="both"/>
        <w:rPr>
          <w:rStyle w:val="Forte"/>
        </w:rPr>
      </w:pPr>
      <w:r>
        <w:rPr>
          <w:rStyle w:val="Forte"/>
        </w:rPr>
        <w:lastRenderedPageBreak/>
        <w:t>Ô</w:t>
      </w:r>
      <w:bookmarkStart w:id="0" w:name="_GoBack"/>
      <w:bookmarkEnd w:id="0"/>
      <w:r w:rsidR="0083173F">
        <w:rPr>
          <w:rStyle w:val="Forte"/>
        </w:rPr>
        <w:t xml:space="preserve">NUS: </w:t>
      </w:r>
      <w:r w:rsidR="0083173F">
        <w:rPr>
          <w:noProof/>
        </w:rPr>
        <w:drawing>
          <wp:inline distT="0" distB="0" distL="0" distR="0" wp14:anchorId="5F3CEDA4" wp14:editId="0EA4137E">
            <wp:extent cx="5400040" cy="2809875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3093" cy="288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7D0B">
        <w:rPr>
          <w:noProof/>
        </w:rPr>
        <w:t xml:space="preserve"> </w:t>
      </w:r>
      <w:r>
        <w:rPr>
          <w:noProof/>
        </w:rPr>
        <w:drawing>
          <wp:inline distT="0" distB="0" distL="0" distR="0" wp14:anchorId="3D847B57" wp14:editId="6880018F">
            <wp:extent cx="5361940" cy="308229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61940" cy="308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167765"/>
            <wp:effectExtent l="0" t="0" r="0" b="0"/>
            <wp:docPr id="1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2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67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226820"/>
            <wp:effectExtent l="0" t="0" r="0" b="0"/>
            <wp:docPr id="2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226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lastRenderedPageBreak/>
        <w:drawing>
          <wp:inline distT="0" distB="0" distL="0" distR="0">
            <wp:extent cx="5400040" cy="1333500"/>
            <wp:effectExtent l="0" t="0" r="0" b="0"/>
            <wp:docPr id="3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33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185545"/>
            <wp:effectExtent l="0" t="0" r="0" b="0"/>
            <wp:docPr id="4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2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85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245870"/>
            <wp:effectExtent l="0" t="0" r="0" b="0"/>
            <wp:docPr id="5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2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245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307465"/>
            <wp:effectExtent l="0" t="0" r="0" b="0"/>
            <wp:docPr id="6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307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271905"/>
            <wp:effectExtent l="0" t="0" r="0" b="0"/>
            <wp:docPr id="7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2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271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278255"/>
            <wp:effectExtent l="0" t="0" r="0" b="0"/>
            <wp:docPr id="8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2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278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SemEspaamento"/>
        <w:jc w:val="both"/>
        <w:rPr>
          <w:rStyle w:val="Forte"/>
          <w:rFonts w:ascii="Times New Roman" w:hAnsi="Times New Roman" w:cs="Times New Roman"/>
          <w:sz w:val="24"/>
          <w:szCs w:val="24"/>
        </w:rPr>
      </w:pPr>
      <w:r>
        <w:rPr>
          <w:rStyle w:val="Forte"/>
          <w:rFonts w:ascii="Times New Roman" w:hAnsi="Times New Roman" w:cs="Times New Roman"/>
          <w:sz w:val="24"/>
          <w:szCs w:val="24"/>
        </w:rPr>
        <w:lastRenderedPageBreak/>
        <w:t>LOTE 2- -CAR/CAMINHÃO C. FECHADA, VW/8.150E DELIVERY, com carroceria refrigerada, tipo baú, frigorífico, em regular estado de conservação, PLACA HHB 8958, CHASSI 9BW952P57R727955,</w:t>
      </w:r>
      <w:r>
        <w:rPr>
          <w:rStyle w:val="Forte"/>
          <w:rFonts w:ascii="Times New Roman" w:hAnsi="Times New Roman" w:cs="Times New Roman"/>
          <w:sz w:val="24"/>
          <w:szCs w:val="24"/>
        </w:rPr>
        <w:t xml:space="preserve"> funcionando, avaliado em R$150.000,00 (cento e cinquenta mil reais). </w:t>
      </w:r>
    </w:p>
    <w:p w:rsidR="0083173F" w:rsidRDefault="0083173F">
      <w:pPr>
        <w:pStyle w:val="SemEspaamento"/>
        <w:jc w:val="both"/>
        <w:rPr>
          <w:rStyle w:val="Forte"/>
          <w:rFonts w:ascii="Times New Roman" w:hAnsi="Times New Roman" w:cs="Times New Roman"/>
          <w:sz w:val="24"/>
          <w:szCs w:val="24"/>
        </w:rPr>
      </w:pPr>
    </w:p>
    <w:p w:rsidR="0083173F" w:rsidRDefault="0083173F">
      <w:pPr>
        <w:pStyle w:val="SemEspaamento"/>
        <w:jc w:val="both"/>
        <w:rPr>
          <w:rStyle w:val="Forte"/>
          <w:rFonts w:ascii="Times New Roman" w:hAnsi="Times New Roman" w:cs="Times New Roman"/>
          <w:sz w:val="24"/>
          <w:szCs w:val="24"/>
        </w:rPr>
      </w:pPr>
      <w:r>
        <w:rPr>
          <w:rStyle w:val="Forte"/>
          <w:rFonts w:ascii="Times New Roman" w:hAnsi="Times New Roman" w:cs="Times New Roman"/>
          <w:sz w:val="24"/>
          <w:szCs w:val="24"/>
        </w:rPr>
        <w:t xml:space="preserve">ÔNUS: </w:t>
      </w:r>
    </w:p>
    <w:p w:rsidR="0083173F" w:rsidRDefault="0083173F">
      <w:pPr>
        <w:pStyle w:val="SemEspaamento"/>
        <w:jc w:val="both"/>
        <w:rPr>
          <w:rStyle w:val="Forte"/>
          <w:rFonts w:ascii="Times New Roman" w:hAnsi="Times New Roman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1DA3C3A3" wp14:editId="4CD98B16">
            <wp:extent cx="5476875" cy="3305175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374775"/>
            <wp:effectExtent l="0" t="0" r="0" b="0"/>
            <wp:docPr id="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37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370965"/>
            <wp:effectExtent l="0" t="0" r="0" b="0"/>
            <wp:docPr id="10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370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119505"/>
            <wp:effectExtent l="0" t="0" r="0" b="0"/>
            <wp:docPr id="11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19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lastRenderedPageBreak/>
        <w:drawing>
          <wp:inline distT="0" distB="0" distL="0" distR="0">
            <wp:extent cx="5400040" cy="1557655"/>
            <wp:effectExtent l="0" t="0" r="0" b="0"/>
            <wp:docPr id="12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55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120775"/>
            <wp:effectExtent l="0" t="0" r="0" b="0"/>
            <wp:docPr id="13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20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558290"/>
            <wp:effectExtent l="0" t="0" r="0" b="0"/>
            <wp:docPr id="14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558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630045"/>
            <wp:effectExtent l="0" t="0" r="0" b="0"/>
            <wp:docPr id="15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63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400040" cy="1427480"/>
            <wp:effectExtent l="0" t="0" r="0" b="0"/>
            <wp:docPr id="16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m 1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27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lastRenderedPageBreak/>
        <w:drawing>
          <wp:inline distT="0" distB="0" distL="0" distR="0">
            <wp:extent cx="5400040" cy="1646555"/>
            <wp:effectExtent l="0" t="0" r="0" b="0"/>
            <wp:docPr id="17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m 1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646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</w:pPr>
      <w:r>
        <w:rPr>
          <w:noProof/>
        </w:rPr>
        <w:drawing>
          <wp:inline distT="0" distB="0" distL="0" distR="0">
            <wp:extent cx="5019675" cy="1143000"/>
            <wp:effectExtent l="0" t="0" r="0" b="0"/>
            <wp:docPr id="18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m 17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280" w:after="280"/>
        <w:jc w:val="both"/>
        <w:rPr>
          <w:rStyle w:val="Forte"/>
          <w:rFonts w:eastAsiaTheme="majorEastAsia"/>
        </w:rPr>
      </w:pPr>
      <w:r>
        <w:rPr>
          <w:noProof/>
        </w:rPr>
        <w:drawing>
          <wp:inline distT="0" distB="0" distL="0" distR="0">
            <wp:extent cx="5400040" cy="1514475"/>
            <wp:effectExtent l="0" t="0" r="0" b="0"/>
            <wp:docPr id="1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C9C" w:rsidRDefault="00B97D0B">
      <w:pPr>
        <w:pStyle w:val="NormalWeb"/>
        <w:spacing w:before="100" w:after="100"/>
        <w:rPr>
          <w:b/>
          <w:bCs/>
        </w:rPr>
      </w:pPr>
      <w:r>
        <w:rPr>
          <w:b/>
          <w:bCs/>
        </w:rPr>
        <w:t xml:space="preserve">TOTAL DA AVALIAÇÃO: R$ 187.000,00(cento e oitenta e sete mil reais). </w:t>
      </w:r>
    </w:p>
    <w:p w:rsidR="002C7C9C" w:rsidRDefault="00B97D0B">
      <w:pPr>
        <w:pStyle w:val="NormalWeb"/>
        <w:spacing w:before="100" w:after="100"/>
        <w:rPr>
          <w:b/>
          <w:bCs/>
        </w:rPr>
      </w:pPr>
      <w:r>
        <w:rPr>
          <w:b/>
          <w:bCs/>
        </w:rPr>
        <w:t xml:space="preserve">LOCALIZAÇÃO: AVENIDA CRISITANO MACHADO, 4.000, UNIÃO. </w:t>
      </w:r>
    </w:p>
    <w:p w:rsidR="002C7C9C" w:rsidRDefault="00B97D0B">
      <w:pPr>
        <w:pStyle w:val="NormalWeb"/>
        <w:spacing w:before="280" w:after="280"/>
        <w:jc w:val="center"/>
      </w:pPr>
      <w:r>
        <w:rPr>
          <w:b/>
          <w:bCs/>
        </w:rPr>
        <w:t xml:space="preserve">CONDIÇÕES GERAIS 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leilão estará a cargo do leiloeiro oficial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Arnaldo Emílio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Colombarolli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matrícula </w:t>
      </w:r>
      <w:proofErr w:type="spellStart"/>
      <w:r>
        <w:rPr>
          <w:rFonts w:ascii="Times New Roman" w:hAnsi="Times New Roman" w:cs="Times New Roman"/>
          <w:sz w:val="24"/>
          <w:szCs w:val="24"/>
        </w:rPr>
        <w:t>Jucemg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nº 81</w:t>
      </w:r>
      <w:r>
        <w:rPr>
          <w:rFonts w:ascii="Times New Roman" w:hAnsi="Times New Roman" w:cs="Times New Roman"/>
          <w:sz w:val="24"/>
          <w:szCs w:val="24"/>
        </w:rPr>
        <w:t>3 (</w:t>
      </w:r>
      <w:hyperlink r:id="rId27" w:tgtFrame="_new">
        <w:r>
          <w:rPr>
            <w:rStyle w:val="Hyperlink"/>
            <w:rFonts w:ascii="Times New Roman" w:hAnsi="Times New Roman" w:cs="Times New Roman"/>
            <w:sz w:val="24"/>
            <w:szCs w:val="24"/>
          </w:rPr>
          <w:t>www.arnaldoleiloes.com.br</w:t>
        </w:r>
      </w:hyperlink>
      <w:r>
        <w:rPr>
          <w:rFonts w:ascii="Times New Roman" w:hAnsi="Times New Roman" w:cs="Times New Roman"/>
          <w:sz w:val="24"/>
          <w:szCs w:val="24"/>
        </w:rPr>
        <w:t>), a ser realizado no local, data e horário acima especificados.</w:t>
      </w:r>
    </w:p>
    <w:p w:rsidR="002C7C9C" w:rsidRDefault="00B97D0B">
      <w:pPr>
        <w:numPr>
          <w:ilvl w:val="0"/>
          <w:numId w:val="2"/>
        </w:numPr>
        <w:suppressAutoHyphens w:val="0"/>
        <w:spacing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shd w:val="clear" w:color="auto" w:fill="FEFFFE"/>
          <w:lang w:eastAsia="zh-CN" w:bidi="hi-IN"/>
        </w:rPr>
      </w:pPr>
      <w:r>
        <w:rPr>
          <w:rFonts w:ascii="Times New Roman" w:hAnsi="Times New Roman" w:cs="Times New Roman"/>
          <w:sz w:val="24"/>
          <w:szCs w:val="24"/>
        </w:rPr>
        <w:t>Juízo</w:t>
      </w:r>
      <w:r>
        <w:rPr>
          <w:rStyle w:val="Forte"/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considera vil o lanço inferior ao percentual de 50% do valor da avaliação, de acordo com o despacho. 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 PAGAMENTO DA ARREMATAÇÃO:</w:t>
      </w:r>
      <w:r>
        <w:rPr>
          <w:rFonts w:ascii="Times New Roman" w:hAnsi="Times New Roman" w:cs="Times New Roman"/>
          <w:sz w:val="24"/>
          <w:szCs w:val="24"/>
        </w:rPr>
        <w:t xml:space="preserve"> O valor da arrematação deverá ser quitado </w:t>
      </w:r>
      <w:r>
        <w:rPr>
          <w:rFonts w:ascii="Times New Roman" w:hAnsi="Times New Roman" w:cs="Times New Roman"/>
          <w:b/>
          <w:bCs/>
          <w:sz w:val="24"/>
          <w:szCs w:val="24"/>
        </w:rPr>
        <w:t>preferencialmente à vista</w:t>
      </w:r>
      <w:r>
        <w:rPr>
          <w:rFonts w:ascii="Times New Roman" w:hAnsi="Times New Roman" w:cs="Times New Roman"/>
          <w:sz w:val="24"/>
          <w:szCs w:val="24"/>
        </w:rPr>
        <w:t>, mediante depósito à disposição do Juízo, conforme o art.</w:t>
      </w:r>
      <w:r>
        <w:rPr>
          <w:rFonts w:ascii="Times New Roman" w:hAnsi="Times New Roman" w:cs="Times New Roman"/>
          <w:sz w:val="24"/>
          <w:szCs w:val="24"/>
        </w:rPr>
        <w:t xml:space="preserve"> 245, §1º do Provimento Geral Consolidado/TRT-3ª Região.</w:t>
      </w:r>
    </w:p>
    <w:p w:rsidR="002C7C9C" w:rsidRDefault="00B97D0B">
      <w:pPr>
        <w:pStyle w:val="PargrafodaLista"/>
        <w:numPr>
          <w:ilvl w:val="0"/>
          <w:numId w:val="2"/>
        </w:numPr>
        <w:suppressAutoHyphens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rte"/>
          <w:rFonts w:ascii="Times New Roman" w:hAnsi="Times New Roman" w:cs="Times New Roman"/>
          <w:sz w:val="24"/>
          <w:szCs w:val="24"/>
        </w:rPr>
        <w:t>Registre-se que a apresentação de proposta de parcelamento por escrito não suspenderá a realização do leilão e será apreciada, oportunamente, pelo Juízo.</w:t>
      </w:r>
    </w:p>
    <w:p w:rsidR="002C7C9C" w:rsidRDefault="00B97D0B">
      <w:pPr>
        <w:numPr>
          <w:ilvl w:val="0"/>
          <w:numId w:val="2"/>
        </w:numPr>
        <w:suppressAutoHyphens w:val="0"/>
        <w:spacing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shd w:val="clear" w:color="auto" w:fill="FEFFFE"/>
          <w:lang w:eastAsia="zh-CN" w:bidi="hi-IN"/>
        </w:rPr>
      </w:pPr>
      <w:r>
        <w:rPr>
          <w:rFonts w:ascii="Times New Roman" w:hAnsi="Times New Roman" w:cs="Times New Roman"/>
          <w:b/>
          <w:sz w:val="24"/>
          <w:szCs w:val="24"/>
        </w:rPr>
        <w:t>DA REMUNERAÇÃO DO LEILOEIRO:</w:t>
      </w:r>
      <w:r>
        <w:rPr>
          <w:rFonts w:ascii="Times New Roman" w:hAnsi="Times New Roman" w:cs="Times New Roman"/>
          <w:sz w:val="24"/>
          <w:szCs w:val="24"/>
        </w:rPr>
        <w:t xml:space="preserve"> A comissão do le</w:t>
      </w:r>
      <w:r>
        <w:rPr>
          <w:rFonts w:ascii="Times New Roman" w:hAnsi="Times New Roman" w:cs="Times New Roman"/>
          <w:sz w:val="24"/>
          <w:szCs w:val="24"/>
        </w:rPr>
        <w:t>iloeiro na proporção de 5% (para bens imóveis) e 10% (para bens móveis), sobre o valor da arre</w:t>
      </w:r>
      <w:r>
        <w:rPr>
          <w:rFonts w:ascii="Times New Roman" w:hAnsi="Times New Roman" w:cs="Times New Roman"/>
          <w:sz w:val="24"/>
          <w:szCs w:val="24"/>
        </w:rPr>
        <w:lastRenderedPageBreak/>
        <w:t>matação, da avaliação no caso de remição se requerida após a praça ou leilão, ou da adjudicação, que será paga pelo arrematante, pelo remitente ou pelo adjudicant</w:t>
      </w:r>
      <w:r>
        <w:rPr>
          <w:rFonts w:ascii="Times New Roman" w:hAnsi="Times New Roman" w:cs="Times New Roman"/>
          <w:sz w:val="24"/>
          <w:szCs w:val="24"/>
        </w:rPr>
        <w:t xml:space="preserve">e, respectivamente, conforme determinado no artigo 245, caput e § 5º do Provimento Geral Consolidado do TRT da 3ª Região - 2015 (PRV GCR/GVCR 3/2015). </w:t>
      </w:r>
    </w:p>
    <w:p w:rsidR="002C7C9C" w:rsidRDefault="00B97D0B">
      <w:pPr>
        <w:numPr>
          <w:ilvl w:val="0"/>
          <w:numId w:val="2"/>
        </w:numPr>
        <w:suppressAutoHyphens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arrematante fica isento dos débitos tributários cujo fato gerador seja a propriedade, o domínio útil o</w:t>
      </w:r>
      <w:r>
        <w:rPr>
          <w:rFonts w:ascii="Times New Roman" w:hAnsi="Times New Roman" w:cs="Times New Roman"/>
          <w:sz w:val="24"/>
          <w:szCs w:val="24"/>
        </w:rPr>
        <w:t xml:space="preserve">u a posse de bens e direitos adquiridos judicialmente, através de leilão judicial ou iniciativa particular, estejam ou não inscritos na dívida ativa, </w:t>
      </w:r>
      <w:r>
        <w:rPr>
          <w:rFonts w:ascii="Times New Roman" w:hAnsi="Times New Roman" w:cs="Times New Roman"/>
          <w:sz w:val="24"/>
          <w:szCs w:val="24"/>
          <w:u w:val="single"/>
        </w:rPr>
        <w:t>bem como que ficarão sub-rogados no bem arrematado os débitos de natureza não tributária que constarem exp</w:t>
      </w:r>
      <w:r>
        <w:rPr>
          <w:rFonts w:ascii="Times New Roman" w:hAnsi="Times New Roman" w:cs="Times New Roman"/>
          <w:sz w:val="24"/>
          <w:szCs w:val="24"/>
          <w:u w:val="single"/>
        </w:rPr>
        <w:t>ressamente do edital. 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interessados em participar do leilão devem apresentar </w:t>
      </w:r>
      <w:r>
        <w:rPr>
          <w:rFonts w:ascii="Times New Roman" w:hAnsi="Times New Roman" w:cs="Times New Roman"/>
          <w:b/>
          <w:bCs/>
          <w:sz w:val="24"/>
          <w:szCs w:val="24"/>
        </w:rPr>
        <w:t>documento de identificação</w:t>
      </w:r>
      <w:r>
        <w:rPr>
          <w:rFonts w:ascii="Times New Roman" w:hAnsi="Times New Roman" w:cs="Times New Roman"/>
          <w:sz w:val="24"/>
          <w:szCs w:val="24"/>
        </w:rPr>
        <w:t xml:space="preserve"> (cédula de identidade civil ou CNH, se pessoa física, ou contrato social e cédula de identidade ou CNH do representante legal, se pessoa jurídica).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Não será devida </w:t>
      </w:r>
      <w:r>
        <w:rPr>
          <w:rFonts w:ascii="Times New Roman" w:hAnsi="Times New Roman" w:cs="Times New Roman"/>
          <w:b/>
          <w:bCs/>
          <w:sz w:val="24"/>
          <w:szCs w:val="24"/>
        </w:rPr>
        <w:t>comissão ao leiloeiro</w:t>
      </w:r>
      <w:r>
        <w:rPr>
          <w:rFonts w:ascii="Times New Roman" w:hAnsi="Times New Roman" w:cs="Times New Roman"/>
          <w:sz w:val="24"/>
          <w:szCs w:val="24"/>
        </w:rPr>
        <w:t xml:space="preserve"> na hipótese de desistência de que trata o art. </w:t>
      </w:r>
      <w:proofErr w:type="gramStart"/>
      <w:r>
        <w:rPr>
          <w:rFonts w:ascii="Times New Roman" w:hAnsi="Times New Roman" w:cs="Times New Roman"/>
          <w:sz w:val="24"/>
          <w:szCs w:val="24"/>
        </w:rPr>
        <w:t>775/CPC anulação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ou ineficácia da arrematação ou resultado negativo do leilão.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 houver </w:t>
      </w:r>
      <w:r>
        <w:rPr>
          <w:rFonts w:ascii="Times New Roman" w:hAnsi="Times New Roman" w:cs="Times New Roman"/>
          <w:b/>
          <w:bCs/>
          <w:sz w:val="24"/>
          <w:szCs w:val="24"/>
        </w:rPr>
        <w:t>acordo ou remição após o leilão</w:t>
      </w:r>
      <w:r>
        <w:rPr>
          <w:rFonts w:ascii="Times New Roman" w:hAnsi="Times New Roman" w:cs="Times New Roman"/>
          <w:sz w:val="24"/>
          <w:szCs w:val="24"/>
        </w:rPr>
        <w:t xml:space="preserve">, o leiloeiro fará jus à comissão, conforme o art. </w:t>
      </w:r>
      <w:r>
        <w:rPr>
          <w:rFonts w:ascii="Times New Roman" w:hAnsi="Times New Roman" w:cs="Times New Roman"/>
          <w:sz w:val="24"/>
          <w:szCs w:val="24"/>
        </w:rPr>
        <w:t>246, §1º do Provimento Geral Consolidado/TRT-3ª Região.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arrematante não poderá alegar desconhecimento das condições do leilão ou das características do bem, sendo de sua responsabilidade verificar </w:t>
      </w:r>
      <w:r>
        <w:rPr>
          <w:rFonts w:ascii="Times New Roman" w:hAnsi="Times New Roman" w:cs="Times New Roman"/>
          <w:b/>
          <w:bCs/>
          <w:sz w:val="24"/>
          <w:szCs w:val="24"/>
        </w:rPr>
        <w:t>encargos sobre o bem</w:t>
      </w:r>
      <w:r>
        <w:rPr>
          <w:rFonts w:ascii="Times New Roman" w:hAnsi="Times New Roman" w:cs="Times New Roman"/>
          <w:sz w:val="24"/>
          <w:szCs w:val="24"/>
        </w:rPr>
        <w:t>, mesmo que não expressos no edital.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O(</w:t>
      </w:r>
      <w:proofErr w:type="gramEnd"/>
      <w:r>
        <w:rPr>
          <w:rFonts w:ascii="Times New Roman" w:hAnsi="Times New Roman" w:cs="Times New Roman"/>
          <w:sz w:val="24"/>
          <w:szCs w:val="24"/>
        </w:rPr>
        <w:t>s) bem(</w:t>
      </w:r>
      <w:proofErr w:type="spellStart"/>
      <w:r>
        <w:rPr>
          <w:rFonts w:ascii="Times New Roman" w:hAnsi="Times New Roman" w:cs="Times New Roman"/>
          <w:sz w:val="24"/>
          <w:szCs w:val="24"/>
        </w:rPr>
        <w:t>ns</w:t>
      </w:r>
      <w:proofErr w:type="spellEnd"/>
      <w:r>
        <w:rPr>
          <w:rFonts w:ascii="Times New Roman" w:hAnsi="Times New Roman" w:cs="Times New Roman"/>
          <w:sz w:val="24"/>
          <w:szCs w:val="24"/>
        </w:rPr>
        <w:t>) será(</w:t>
      </w:r>
      <w:proofErr w:type="spellStart"/>
      <w:r>
        <w:rPr>
          <w:rFonts w:ascii="Times New Roman" w:hAnsi="Times New Roman" w:cs="Times New Roman"/>
          <w:sz w:val="24"/>
          <w:szCs w:val="24"/>
        </w:rPr>
        <w:t>ão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b/>
          <w:bCs/>
          <w:sz w:val="24"/>
          <w:szCs w:val="24"/>
        </w:rPr>
        <w:t>vendido(s) no estado de conservação em que se encontra(m)</w:t>
      </w:r>
      <w:r>
        <w:rPr>
          <w:rFonts w:ascii="Times New Roman" w:hAnsi="Times New Roman" w:cs="Times New Roman"/>
          <w:sz w:val="24"/>
          <w:szCs w:val="24"/>
        </w:rPr>
        <w:t>, sem garantia. É de responsabilidade do interessado verificar as condições do bem.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valor total da </w:t>
      </w:r>
      <w:r>
        <w:rPr>
          <w:rFonts w:ascii="Times New Roman" w:hAnsi="Times New Roman" w:cs="Times New Roman"/>
          <w:b/>
          <w:bCs/>
          <w:sz w:val="24"/>
          <w:szCs w:val="24"/>
        </w:rPr>
        <w:t>arrematação</w:t>
      </w:r>
      <w:r>
        <w:rPr>
          <w:rFonts w:ascii="Times New Roman" w:hAnsi="Times New Roman" w:cs="Times New Roman"/>
          <w:sz w:val="24"/>
          <w:szCs w:val="24"/>
        </w:rPr>
        <w:t xml:space="preserve"> deverá ser depositado pelo arrematante no prazo máximo de 24 </w:t>
      </w:r>
      <w:proofErr w:type="gramStart"/>
      <w:r>
        <w:rPr>
          <w:rFonts w:ascii="Times New Roman" w:hAnsi="Times New Roman" w:cs="Times New Roman"/>
          <w:sz w:val="24"/>
          <w:szCs w:val="24"/>
        </w:rPr>
        <w:t>HOR</w:t>
      </w:r>
      <w:r>
        <w:rPr>
          <w:rFonts w:ascii="Times New Roman" w:hAnsi="Times New Roman" w:cs="Times New Roman"/>
          <w:sz w:val="24"/>
          <w:szCs w:val="24"/>
        </w:rPr>
        <w:t xml:space="preserve">AS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após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o encerramento do leilão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 houver </w:t>
      </w:r>
      <w:r>
        <w:rPr>
          <w:rFonts w:ascii="Times New Roman" w:hAnsi="Times New Roman" w:cs="Times New Roman"/>
          <w:b/>
          <w:bCs/>
          <w:sz w:val="24"/>
          <w:szCs w:val="24"/>
        </w:rPr>
        <w:t>desistência da arrematação</w:t>
      </w:r>
      <w:r>
        <w:rPr>
          <w:rFonts w:ascii="Times New Roman" w:hAnsi="Times New Roman" w:cs="Times New Roman"/>
          <w:sz w:val="24"/>
          <w:szCs w:val="24"/>
        </w:rPr>
        <w:t xml:space="preserve"> fora das hipóteses legais, o arrematante poderá ser </w:t>
      </w:r>
      <w:r>
        <w:rPr>
          <w:rFonts w:ascii="Times New Roman" w:hAnsi="Times New Roman" w:cs="Times New Roman"/>
          <w:b/>
          <w:bCs/>
          <w:sz w:val="24"/>
          <w:szCs w:val="24"/>
        </w:rPr>
        <w:t>multado</w:t>
      </w:r>
      <w:r>
        <w:rPr>
          <w:rFonts w:ascii="Times New Roman" w:hAnsi="Times New Roman" w:cs="Times New Roman"/>
          <w:sz w:val="24"/>
          <w:szCs w:val="24"/>
        </w:rPr>
        <w:t>, além de ter que pagar a comissão do leiloeiro.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comissão do leiloeiro </w:t>
      </w:r>
      <w:r>
        <w:rPr>
          <w:rFonts w:ascii="Times New Roman" w:hAnsi="Times New Roman" w:cs="Times New Roman"/>
          <w:b/>
          <w:bCs/>
          <w:sz w:val="24"/>
          <w:szCs w:val="24"/>
        </w:rPr>
        <w:t>não será devolvida</w:t>
      </w:r>
      <w:r>
        <w:rPr>
          <w:rFonts w:ascii="Times New Roman" w:hAnsi="Times New Roman" w:cs="Times New Roman"/>
          <w:sz w:val="24"/>
          <w:szCs w:val="24"/>
        </w:rPr>
        <w:t xml:space="preserve"> se a arrematação for anulada, inv</w:t>
      </w:r>
      <w:r>
        <w:rPr>
          <w:rFonts w:ascii="Times New Roman" w:hAnsi="Times New Roman" w:cs="Times New Roman"/>
          <w:sz w:val="24"/>
          <w:szCs w:val="24"/>
        </w:rPr>
        <w:t>alidada ou considerada ineficaz por culpa do arrematante.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 o valor da </w:t>
      </w:r>
      <w:r>
        <w:rPr>
          <w:rFonts w:ascii="Times New Roman" w:hAnsi="Times New Roman" w:cs="Times New Roman"/>
          <w:b/>
          <w:bCs/>
          <w:sz w:val="24"/>
          <w:szCs w:val="24"/>
        </w:rPr>
        <w:t>arrematação</w:t>
      </w:r>
      <w:r>
        <w:rPr>
          <w:rFonts w:ascii="Times New Roman" w:hAnsi="Times New Roman" w:cs="Times New Roman"/>
          <w:sz w:val="24"/>
          <w:szCs w:val="24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Nos </w:t>
      </w:r>
      <w:r>
        <w:rPr>
          <w:rFonts w:ascii="Times New Roman" w:hAnsi="Times New Roman" w:cs="Times New Roman"/>
          <w:sz w:val="24"/>
          <w:szCs w:val="24"/>
        </w:rPr>
        <w:t xml:space="preserve">termos do art. 358 do Código Penal, quem impedir ou fraudar a arrematação judicial, afastar concorrentes ou licitantes por violência, ameaça, fraude ou vantagem, estará sujeito a </w:t>
      </w:r>
      <w:r>
        <w:rPr>
          <w:rFonts w:ascii="Times New Roman" w:hAnsi="Times New Roman" w:cs="Times New Roman"/>
          <w:b/>
          <w:bCs/>
          <w:sz w:val="24"/>
          <w:szCs w:val="24"/>
        </w:rPr>
        <w:t>pena de detenção de dois meses a um ano</w:t>
      </w:r>
      <w:r>
        <w:rPr>
          <w:rFonts w:ascii="Times New Roman" w:hAnsi="Times New Roman" w:cs="Times New Roman"/>
          <w:sz w:val="24"/>
          <w:szCs w:val="24"/>
        </w:rPr>
        <w:t xml:space="preserve">, ou multa, além da pena </w:t>
      </w:r>
      <w:r>
        <w:rPr>
          <w:rFonts w:ascii="Times New Roman" w:hAnsi="Times New Roman" w:cs="Times New Roman"/>
          <w:sz w:val="24"/>
          <w:szCs w:val="24"/>
        </w:rPr>
        <w:t>correspondente à violência.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Ficam intimadas as </w:t>
      </w:r>
      <w:r>
        <w:rPr>
          <w:rFonts w:ascii="Times New Roman" w:hAnsi="Times New Roman" w:cs="Times New Roman"/>
          <w:b/>
          <w:bCs/>
          <w:sz w:val="24"/>
          <w:szCs w:val="24"/>
        </w:rPr>
        <w:t>partes, coproprietários, cônjuges, credores hipotecários, fiduciários e credores com penhoras averbadas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Ficam intimados </w:t>
      </w:r>
      <w:proofErr w:type="gramStart"/>
      <w:r>
        <w:rPr>
          <w:rFonts w:ascii="Times New Roman" w:hAnsi="Times New Roman" w:cs="Times New Roman"/>
          <w:sz w:val="24"/>
          <w:szCs w:val="24"/>
        </w:rPr>
        <w:t>o(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s) </w:t>
      </w:r>
      <w:r>
        <w:rPr>
          <w:rFonts w:ascii="Times New Roman" w:hAnsi="Times New Roman" w:cs="Times New Roman"/>
          <w:b/>
          <w:bCs/>
          <w:sz w:val="24"/>
          <w:szCs w:val="24"/>
        </w:rPr>
        <w:t>devedor(es) e/ou depositário(s)</w:t>
      </w:r>
      <w:r>
        <w:rPr>
          <w:rFonts w:ascii="Times New Roman" w:hAnsi="Times New Roman" w:cs="Times New Roman"/>
          <w:sz w:val="24"/>
          <w:szCs w:val="24"/>
        </w:rPr>
        <w:t xml:space="preserve"> não localizado(s).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arrematação será considerada c</w:t>
      </w:r>
      <w:r>
        <w:rPr>
          <w:rFonts w:ascii="Times New Roman" w:hAnsi="Times New Roman" w:cs="Times New Roman"/>
          <w:sz w:val="24"/>
          <w:szCs w:val="24"/>
        </w:rPr>
        <w:t xml:space="preserve">oncluída somente após a </w:t>
      </w:r>
      <w:r>
        <w:rPr>
          <w:rFonts w:ascii="Times New Roman" w:hAnsi="Times New Roman" w:cs="Times New Roman"/>
          <w:b/>
          <w:bCs/>
          <w:sz w:val="24"/>
          <w:szCs w:val="24"/>
        </w:rPr>
        <w:t>homologação pelo MM Juiz</w:t>
      </w:r>
      <w:r>
        <w:rPr>
          <w:rFonts w:ascii="Times New Roman" w:hAnsi="Times New Roman" w:cs="Times New Roman"/>
          <w:sz w:val="24"/>
          <w:szCs w:val="24"/>
        </w:rPr>
        <w:t xml:space="preserve"> da vara competente.</w:t>
      </w:r>
    </w:p>
    <w:p w:rsidR="002C7C9C" w:rsidRDefault="00B97D0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LEIA O EDITAL.</w:t>
      </w:r>
      <w:r>
        <w:rPr>
          <w:rFonts w:ascii="Times New Roman" w:hAnsi="Times New Roman" w:cs="Times New Roman"/>
          <w:sz w:val="24"/>
          <w:szCs w:val="24"/>
        </w:rPr>
        <w:t xml:space="preserve"> Em caso de dúvida, o que estiver disposto no edital é o que prevalecerá.</w:t>
      </w:r>
    </w:p>
    <w:p w:rsidR="002C7C9C" w:rsidRDefault="002C7C9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7C9C" w:rsidRDefault="002C7C9C">
      <w:pPr>
        <w:suppressAutoHyphens w:val="0"/>
        <w:spacing w:beforeAutospacing="1" w:afterAutospacing="1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2C7C9C" w:rsidRDefault="002C7C9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C7C9C" w:rsidRDefault="002C7C9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C7C9C" w:rsidRDefault="002C7C9C">
      <w:pPr>
        <w:rPr>
          <w:rFonts w:ascii="Times New Roman" w:hAnsi="Times New Roman" w:cs="Times New Roman"/>
          <w:sz w:val="24"/>
          <w:szCs w:val="24"/>
        </w:rPr>
      </w:pPr>
    </w:p>
    <w:sectPr w:rsidR="002C7C9C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13204"/>
    <w:multiLevelType w:val="multilevel"/>
    <w:tmpl w:val="DF788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691619"/>
    <w:multiLevelType w:val="multilevel"/>
    <w:tmpl w:val="FC32A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48AE765B"/>
    <w:multiLevelType w:val="multilevel"/>
    <w:tmpl w:val="BE9E57B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C9C"/>
    <w:rsid w:val="002C7C9C"/>
    <w:rsid w:val="0083173F"/>
    <w:rsid w:val="00B9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31620"/>
  <w15:docId w15:val="{04BCF18E-F268-4B3A-BDFF-DD26114B0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3576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D73576"/>
    <w:rPr>
      <w:b/>
      <w:bCs/>
    </w:rPr>
  </w:style>
  <w:style w:type="character" w:styleId="Hyperlink">
    <w:name w:val="Hyperlink"/>
    <w:basedOn w:val="Fontepargpadro"/>
    <w:uiPriority w:val="99"/>
    <w:unhideWhenUsed/>
    <w:rsid w:val="00D73576"/>
    <w:rPr>
      <w:color w:val="0563C1" w:themeColor="hyperlink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D7357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D73576"/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D735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hyperlink" Target="http://www.arnaldoleiloes.com.br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8</Pages>
  <Words>848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dc:description/>
  <cp:lastModifiedBy>Dep_pessoal8</cp:lastModifiedBy>
  <cp:revision>6</cp:revision>
  <dcterms:created xsi:type="dcterms:W3CDTF">2025-12-16T14:46:00Z</dcterms:created>
  <dcterms:modified xsi:type="dcterms:W3CDTF">2025-12-29T19:04:00Z</dcterms:modified>
  <dc:language>pt-BR</dc:language>
</cp:coreProperties>
</file>