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Spacing"/>
        <w:jc w:val="center"/>
        <w:rPr>
          <w:rFonts w:ascii="Arial" w:hAnsi="Arial" w:cs="Arial"/>
          <w:b/>
          <w:bCs/>
        </w:rPr>
      </w:pPr>
      <w:r>
        <w:rPr>
          <w:rFonts w:cs="Arial" w:ascii="Arial" w:hAnsi="Arial"/>
          <w:b/>
          <w:bCs/>
        </w:rPr>
        <w:t>EDITAL DE LEILÃO</w:t>
      </w:r>
    </w:p>
    <w:p>
      <w:pPr>
        <w:pStyle w:val="NoSpacing"/>
        <w:jc w:val="center"/>
        <w:rPr>
          <w:rFonts w:ascii="Arial" w:hAnsi="Arial" w:cs="Arial"/>
          <w:b/>
          <w:bCs/>
        </w:rPr>
      </w:pPr>
      <w:r>
        <w:rPr>
          <w:rFonts w:cs="Arial" w:ascii="Arial" w:hAnsi="Arial"/>
          <w:b/>
          <w:bCs/>
        </w:rPr>
        <w:t>26ª Vara do Trabalho de Belo Horizonte</w:t>
        <w:br/>
        <w:t>RUA DOS GOITACAZES, 1475, BARRO PRETO, BELO HORIZONTE/MG</w:t>
      </w:r>
    </w:p>
    <w:p>
      <w:pPr>
        <w:pStyle w:val="NoSpacing"/>
        <w:jc w:val="center"/>
        <w:rPr>
          <w:rFonts w:ascii="Arial" w:hAnsi="Arial" w:cs="Arial"/>
          <w:b/>
          <w:bCs/>
        </w:rPr>
      </w:pPr>
      <w:r>
        <w:rPr>
          <w:rFonts w:cs="Arial" w:ascii="Arial" w:hAnsi="Arial"/>
          <w:b/>
          <w:bCs/>
        </w:rPr>
        <w:t>TEL.: (31) 33307526 – E-MAIL: varabh26@trt3.jus.br</w:t>
      </w:r>
    </w:p>
    <w:p>
      <w:pPr>
        <w:pStyle w:val="NoSpacing"/>
        <w:rPr>
          <w:rFonts w:ascii="Arial" w:hAnsi="Arial" w:cs="Arial"/>
          <w:b/>
          <w:bCs/>
        </w:rPr>
      </w:pPr>
      <w:r>
        <w:rPr>
          <w:rFonts w:cs="Arial" w:ascii="Arial" w:hAnsi="Arial"/>
          <w:b/>
          <w:bCs/>
        </w:rPr>
      </w:r>
    </w:p>
    <w:p>
      <w:pPr>
        <w:pStyle w:val="NoSpacing"/>
        <w:rPr>
          <w:rFonts w:ascii="Arial" w:hAnsi="Arial" w:cs="Arial"/>
          <w:b/>
        </w:rPr>
      </w:pPr>
      <w:r>
        <w:rPr>
          <w:rFonts w:cs="Arial" w:ascii="Arial" w:hAnsi="Arial"/>
          <w:b/>
        </w:rPr>
        <w:t xml:space="preserve">PROCESSO </w:t>
      </w:r>
      <w:r>
        <w:rPr>
          <w:rStyle w:val="Strong"/>
          <w:rFonts w:cs="Arial" w:ascii="Arial" w:hAnsi="Arial"/>
        </w:rPr>
        <w:t>0010590-66.2024.5.03.0105</w:t>
      </w:r>
      <w:r>
        <w:rPr>
          <w:rFonts w:cs="Arial" w:ascii="Arial" w:hAnsi="Arial"/>
        </w:rPr>
        <w:t xml:space="preserve"> </w:t>
        <w:br/>
      </w:r>
      <w:r>
        <w:rPr>
          <w:rFonts w:cs="Arial" w:ascii="Arial" w:hAnsi="Arial"/>
          <w:b/>
        </w:rPr>
        <w:t xml:space="preserve">AUTOR: BRUNO SOARES OLIVEIRA REIS </w:t>
        <w:br/>
        <w:t>RÉU: ESPETINHO SHOW LTDA E OUTROS (2)</w:t>
      </w:r>
    </w:p>
    <w:p>
      <w:pPr>
        <w:pStyle w:val="NoSpacing"/>
        <w:rPr>
          <w:rFonts w:ascii="Arial" w:hAnsi="Arial" w:cs="Arial"/>
          <w:b/>
        </w:rPr>
      </w:pPr>
      <w:r>
        <w:rPr>
          <w:rFonts w:cs="Arial" w:ascii="Arial" w:hAnsi="Arial"/>
          <w:b/>
        </w:rPr>
      </w:r>
    </w:p>
    <w:p>
      <w:pPr>
        <w:pStyle w:val="Normal"/>
        <w:rPr>
          <w:rFonts w:ascii="Arial" w:hAnsi="Arial" w:cs="Arial"/>
          <w:b/>
          <w:bCs/>
        </w:rPr>
      </w:pPr>
      <w:r>
        <w:rPr>
          <w:rFonts w:cs="Arial" w:ascii="Arial" w:hAnsi="Arial"/>
          <w:b/>
          <w:bCs/>
        </w:rPr>
        <w:t>DATAS E LOCAIS DO LEILÃO</w:t>
      </w:r>
    </w:p>
    <w:p>
      <w:pPr>
        <w:pStyle w:val="Normal"/>
        <w:numPr>
          <w:ilvl w:val="0"/>
          <w:numId w:val="1"/>
        </w:numPr>
        <w:rPr>
          <w:rFonts w:ascii="Arial" w:hAnsi="Arial" w:cs="Arial"/>
        </w:rPr>
      </w:pPr>
      <w:r>
        <w:rPr>
          <w:rFonts w:cs="Arial" w:ascii="Arial" w:hAnsi="Arial"/>
          <w:b/>
          <w:bCs/>
        </w:rPr>
        <w:t>1º Leilão Virtual e Presencial</w:t>
      </w:r>
      <w:r>
        <w:rPr>
          <w:rFonts w:cs="Arial" w:ascii="Arial" w:hAnsi="Arial"/>
        </w:rPr>
        <w:br/>
        <w:t>Data e Hora</w:t>
      </w:r>
      <w:r>
        <w:rPr>
          <w:rFonts w:cs="Arial" w:ascii="Arial" w:hAnsi="Arial"/>
          <w:b/>
        </w:rPr>
        <w:t>:15/04/2026</w:t>
      </w:r>
      <w:r>
        <w:rPr>
          <w:rFonts w:cs="Arial" w:ascii="Arial" w:hAnsi="Arial"/>
        </w:rPr>
        <w:t xml:space="preserve">,  às </w:t>
      </w:r>
      <w:r>
        <w:rPr>
          <w:rFonts w:cs="Arial" w:ascii="Arial" w:hAnsi="Arial"/>
          <w:b/>
          <w:bCs/>
        </w:rPr>
        <w:t>14h00</w:t>
      </w:r>
      <w:r>
        <w:rPr>
          <w:rFonts w:cs="Arial" w:ascii="Arial" w:hAnsi="Arial"/>
        </w:rPr>
        <w:t>.</w:t>
        <w:br/>
        <w:t>Local Presencial: Rua Sacadura Cabral, nº 680, Vila Oeste, Belo Horizonte/MG.</w:t>
        <w:br/>
        <w:t>Modalidade: Virtual e Presencial.</w:t>
      </w:r>
    </w:p>
    <w:p>
      <w:pPr>
        <w:pStyle w:val="Normal"/>
        <w:numPr>
          <w:ilvl w:val="0"/>
          <w:numId w:val="1"/>
        </w:numPr>
        <w:pBdr>
          <w:bottom w:val="single" w:sz="4" w:space="1" w:color="000000"/>
        </w:pBdr>
        <w:ind w:hanging="294" w:left="720"/>
        <w:rPr>
          <w:rFonts w:ascii="Arial" w:hAnsi="Arial" w:cs="Arial"/>
        </w:rPr>
      </w:pPr>
      <w:r>
        <w:rPr>
          <w:rFonts w:cs="Arial" w:ascii="Arial" w:hAnsi="Arial"/>
          <w:b/>
          <w:bCs/>
        </w:rPr>
        <w:t>2º Leilão Virtual e Presencial</w:t>
      </w:r>
      <w:r>
        <w:rPr>
          <w:rFonts w:cs="Arial" w:ascii="Arial" w:hAnsi="Arial"/>
        </w:rPr>
        <w:br/>
        <w:t xml:space="preserve">Data e Hora: </w:t>
      </w:r>
      <w:r>
        <w:rPr>
          <w:rFonts w:cs="Arial" w:ascii="Arial" w:hAnsi="Arial"/>
          <w:b/>
        </w:rPr>
        <w:t>14/05/2026</w:t>
      </w:r>
      <w:r>
        <w:rPr>
          <w:rFonts w:cs="Arial" w:ascii="Arial" w:hAnsi="Arial"/>
        </w:rPr>
        <w:t xml:space="preserve">,  às </w:t>
      </w:r>
      <w:r>
        <w:rPr>
          <w:rFonts w:cs="Arial" w:ascii="Arial" w:hAnsi="Arial"/>
          <w:b/>
          <w:bCs/>
        </w:rPr>
        <w:t>14h00</w:t>
      </w:r>
      <w:r>
        <w:rPr>
          <w:rFonts w:cs="Arial" w:ascii="Arial" w:hAnsi="Arial"/>
        </w:rPr>
        <w:t>.</w:t>
        <w:br/>
        <w:t>Local Presencial: Rua Sacadura Cabral, nº 680, Vila Oeste, Belo Horizonte/MG.</w:t>
        <w:br/>
        <w:t>Modalidade: Virtual e Presencial.</w:t>
      </w:r>
    </w:p>
    <w:p>
      <w:pPr>
        <w:pStyle w:val="Normal"/>
        <w:pBdr>
          <w:bottom w:val="single" w:sz="4" w:space="1" w:color="000000"/>
        </w:pBdr>
        <w:jc w:val="both"/>
        <w:rPr>
          <w:rFonts w:ascii="Arial" w:hAnsi="Arial" w:cs="Arial"/>
          <w:color w:val="FF0000"/>
        </w:rPr>
      </w:pPr>
      <w:r>
        <w:rPr>
          <w:rFonts w:cs="Arial" w:ascii="Arial" w:hAnsi="Arial"/>
          <w:color w:val="FF0000"/>
        </w:rPr>
        <w:t>O leilão começará às 14:00 horas, seguindo a ordem dos lotes. Cada lote será encerrado imediatamente após o recebimento do maior lance ou, se não houver lances, ao final do tempo estipulado para aquele lote. O leilão pode ser encerrado antes das 16:00 horas, caso todos os lotes sejam finalizados antes deste horário.</w:t>
      </w:r>
    </w:p>
    <w:p>
      <w:pPr>
        <w:pStyle w:val="Normal"/>
        <w:rPr>
          <w:rFonts w:ascii="Arial" w:hAnsi="Arial" w:cs="Arial"/>
          <w:b/>
          <w:bCs/>
        </w:rPr>
      </w:pPr>
      <w:r>
        <w:rPr>
          <w:rFonts w:cs="Arial" w:ascii="Arial" w:hAnsi="Arial"/>
          <w:b/>
          <w:bCs/>
        </w:rPr>
        <w:t>DESCRIÇÃO DO BEM:</w:t>
      </w:r>
    </w:p>
    <w:p>
      <w:pPr>
        <w:pStyle w:val="Normal"/>
        <w:rPr>
          <w:rFonts w:ascii="Arial" w:hAnsi="Arial" w:cs="Arial"/>
          <w:b/>
        </w:rPr>
      </w:pPr>
      <w:r>
        <w:rPr>
          <w:rFonts w:cs="Arial" w:ascii="Arial" w:hAnsi="Arial"/>
          <w:b/>
        </w:rPr>
        <w:t xml:space="preserve">Pertencia a matrícula nº 12.564, do Cartório do 6º Ofício do Registro de Imóveis da Comarca de Belo Horizonte/MG, atualmente matriculada sob o </w:t>
      </w:r>
      <w:bookmarkStart w:id="0" w:name="_GoBack"/>
      <w:bookmarkEnd w:id="0"/>
      <w:r>
        <w:rPr>
          <w:rFonts w:cs="Arial" w:ascii="Arial" w:hAnsi="Arial"/>
          <w:b/>
        </w:rPr>
        <w:t xml:space="preserve">22.848 do 9° Ofício do Registro de Imóveis da Comarca de Belo Horizonte/MG.  </w:t>
      </w:r>
    </w:p>
    <w:p>
      <w:pPr>
        <w:pStyle w:val="NoSpacing"/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Fração ideal correspondente a 1/3 (um terço) do imóvel com área aproximada de 380m², onde se encontram edificadas três casas no pavimento térreo, com entradas independentes e garagem para dois carros de tamanho médio, todas em bom estado de conservação, com dimensões e confrontações descritas na planta e na matrícula imobiliária, parte integrante desta descrição. </w:t>
      </w:r>
    </w:p>
    <w:p>
      <w:pPr>
        <w:pStyle w:val="NoSpacing"/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O bem encontra-se ocupado pelas Sras. Solange Soares Reis (CPF: 373.342.396-87), </w:t>
      </w:r>
    </w:p>
    <w:p>
      <w:pPr>
        <w:pStyle w:val="NoSpacing"/>
        <w:jc w:val="both"/>
        <w:rPr>
          <w:rFonts w:ascii="Arial" w:hAnsi="Arial" w:cs="Arial"/>
        </w:rPr>
      </w:pPr>
      <w:r>
        <w:rPr>
          <w:rFonts w:cs="Arial" w:ascii="Arial" w:hAnsi="Arial"/>
        </w:rPr>
        <w:t>Sinara Reis de Carvalho Medeiros (CPF: 032.745.686-86) e família e Elisangela Reis de Carvalho (CPF: 055.166.546-70) e família.</w:t>
      </w:r>
    </w:p>
    <w:p>
      <w:pPr>
        <w:pStyle w:val="Normal"/>
        <w:spacing w:lineRule="auto" w:line="240" w:before="0" w:after="0"/>
        <w:jc w:val="both"/>
        <w:rPr>
          <w:rFonts w:ascii="Arial" w:hAnsi="Arial" w:eastAsia="Times New Roman" w:cs="Arial"/>
          <w:kern w:val="0"/>
          <w:lang w:eastAsia="pt-BR"/>
          <w14:ligatures w14:val="none"/>
        </w:rPr>
      </w:pPr>
      <w:r>
        <w:rPr>
          <w:rFonts w:eastAsia="Times New Roman" w:cs="Arial" w:ascii="Arial" w:hAnsi="Arial"/>
          <w:kern w:val="0"/>
          <w:lang w:eastAsia="pt-BR"/>
          <w14:ligatures w14:val="none"/>
        </w:rPr>
      </w:r>
    </w:p>
    <w:p>
      <w:pPr>
        <w:pStyle w:val="NoSpacing"/>
        <w:jc w:val="both"/>
        <w:rPr>
          <w:rFonts w:ascii="Arial" w:hAnsi="Arial" w:cs="Arial"/>
          <w:b/>
        </w:rPr>
      </w:pPr>
      <w:r>
        <w:rPr>
          <w:rFonts w:cs="Arial" w:ascii="Arial" w:hAnsi="Arial"/>
          <w:b/>
        </w:rPr>
        <w:t>Valor da avaliação:  R$ 300.000,00 (trezentos mil reais)</w:t>
      </w:r>
    </w:p>
    <w:p>
      <w:pPr>
        <w:pStyle w:val="NoSpacing"/>
        <w:jc w:val="both"/>
        <w:rPr>
          <w:rFonts w:ascii="Arial" w:hAnsi="Arial" w:cs="Arial"/>
          <w:b/>
        </w:rPr>
      </w:pPr>
      <w:r>
        <w:rPr>
          <w:rFonts w:cs="Arial" w:ascii="Arial" w:hAnsi="Arial"/>
          <w:b/>
        </w:rPr>
      </w:r>
    </w:p>
    <w:p>
      <w:pPr>
        <w:pStyle w:val="Normal"/>
        <w:spacing w:lineRule="auto" w:line="240" w:before="0" w:after="0"/>
        <w:jc w:val="both"/>
        <w:rPr>
          <w:rFonts w:ascii="Arial" w:hAnsi="Arial" w:eastAsia="Times New Roman" w:cs="Arial"/>
          <w:b/>
          <w:bCs/>
          <w:kern w:val="0"/>
          <w:lang w:eastAsia="pt-BR"/>
          <w14:ligatures w14:val="none"/>
        </w:rPr>
      </w:pPr>
      <w:r>
        <w:rPr>
          <w:rFonts w:eastAsia="Times New Roman" w:cs="Arial" w:ascii="Arial" w:hAnsi="Arial"/>
          <w:b/>
          <w:bCs/>
          <w:kern w:val="0"/>
          <w:lang w:eastAsia="pt-BR"/>
          <w14:ligatures w14:val="none"/>
        </w:rPr>
        <w:t xml:space="preserve">Localização: </w:t>
      </w:r>
      <w:r>
        <w:rPr>
          <w:rFonts w:eastAsia="Times New Roman" w:cs="Arial" w:ascii="Arial" w:hAnsi="Arial"/>
          <w:b w:val="false"/>
          <w:bCs w:val="false"/>
          <w:kern w:val="0"/>
          <w:lang w:eastAsia="pt-BR"/>
          <w14:ligatures w14:val="none"/>
        </w:rPr>
        <w:t>Rua João Ferreira da Silva, 1.711- Maria Helena-BH/MG.</w:t>
      </w:r>
    </w:p>
    <w:p>
      <w:pPr>
        <w:pStyle w:val="Normal"/>
        <w:spacing w:lineRule="auto" w:line="240" w:before="0" w:after="0"/>
        <w:jc w:val="both"/>
        <w:rPr>
          <w:rFonts w:ascii="Arial" w:hAnsi="Arial" w:eastAsia="Times New Roman" w:cs="Arial"/>
          <w:kern w:val="0"/>
          <w:lang w:eastAsia="pt-BR"/>
          <w14:ligatures w14:val="none"/>
        </w:rPr>
      </w:pPr>
      <w:r>
        <w:rPr>
          <w:rFonts w:eastAsia="Times New Roman" w:cs="Arial" w:ascii="Arial" w:hAnsi="Arial"/>
          <w:kern w:val="0"/>
          <w:lang w:eastAsia="pt-BR"/>
          <w14:ligatures w14:val="none"/>
        </w:rPr>
      </w:r>
    </w:p>
    <w:p>
      <w:pPr>
        <w:pStyle w:val="Normal"/>
        <w:jc w:val="both"/>
        <w:rPr>
          <w:rFonts w:ascii="Arial" w:hAnsi="Arial" w:cs="Arial"/>
          <w:b/>
        </w:rPr>
      </w:pPr>
      <w:r>
        <w:rPr>
          <w:rFonts w:cs="Arial" w:ascii="Arial" w:hAnsi="Arial"/>
          <w:b/>
        </w:rPr>
        <w:t xml:space="preserve">ÔNUS: ANOTAÇÕES AVERBADAS NA MATRÍCULA ATÉ O DIA 14/01/2026: </w:t>
      </w:r>
    </w:p>
    <w:p>
      <w:pPr>
        <w:pStyle w:val="ListParagraph"/>
        <w:numPr>
          <w:ilvl w:val="0"/>
          <w:numId w:val="3"/>
        </w:numPr>
        <w:spacing w:lineRule="auto" w:line="240" w:before="0" w:after="0"/>
        <w:ind w:hanging="0" w:left="0"/>
        <w:contextualSpacing/>
        <w:jc w:val="both"/>
        <w:rPr>
          <w:rFonts w:ascii="Arial" w:hAnsi="Arial" w:eastAsia="Times New Roman" w:cs="Arial"/>
          <w:kern w:val="0"/>
          <w:lang w:eastAsia="pt-BR"/>
          <w14:ligatures w14:val="none"/>
        </w:rPr>
      </w:pPr>
      <w:r>
        <w:rPr>
          <w:rFonts w:eastAsia="Times New Roman" w:cs="Arial" w:ascii="Arial" w:hAnsi="Arial"/>
          <w:kern w:val="0"/>
          <w:lang w:eastAsia="pt-BR"/>
          <w14:ligatures w14:val="none"/>
        </w:rPr>
        <w:t xml:space="preserve">Coproprietários: SINARA REIS DE CARVALHO, CPF: 032.745.686-86; ELISÂNGELA REIS DE CARVALHO, CPF: 055.166.546-70 </w:t>
      </w:r>
    </w:p>
    <w:p>
      <w:pPr>
        <w:pStyle w:val="Normal"/>
        <w:spacing w:lineRule="auto" w:line="240" w:before="0" w:after="0"/>
        <w:jc w:val="both"/>
        <w:rPr>
          <w:rFonts w:ascii="Arial" w:hAnsi="Arial" w:eastAsia="Times New Roman" w:cs="Arial"/>
          <w:kern w:val="0"/>
          <w:lang w:eastAsia="pt-BR"/>
          <w14:ligatures w14:val="none"/>
        </w:rPr>
      </w:pPr>
      <w:r>
        <w:rPr>
          <w:rFonts w:eastAsia="Times New Roman" w:cs="Arial" w:ascii="Arial" w:hAnsi="Arial"/>
          <w:kern w:val="0"/>
          <w:lang w:eastAsia="pt-BR"/>
          <w14:ligatures w14:val="none"/>
        </w:rPr>
      </w:r>
    </w:p>
    <w:p>
      <w:pPr>
        <w:pStyle w:val="ListParagraph"/>
        <w:numPr>
          <w:ilvl w:val="0"/>
          <w:numId w:val="3"/>
        </w:numPr>
        <w:ind w:hanging="0" w:left="0"/>
        <w:jc w:val="both"/>
        <w:rPr>
          <w:rFonts w:ascii="Arial" w:hAnsi="Arial" w:eastAsia="Times New Roman" w:cs="Arial"/>
          <w:kern w:val="0"/>
          <w:lang w:eastAsia="pt-BR"/>
          <w14:ligatures w14:val="none"/>
        </w:rPr>
      </w:pPr>
      <w:r>
        <w:rPr>
          <w:rFonts w:eastAsia="Times New Roman" w:cs="Arial" w:ascii="Arial" w:hAnsi="Arial"/>
          <w:kern w:val="0"/>
          <w:lang w:eastAsia="pt-BR"/>
          <w14:ligatures w14:val="none"/>
        </w:rPr>
        <w:t>Usufrutuários vitalícios: SOLANGE SOARES REIS, CPF: 373.342.396-87; JOSÉ MARIA GOMES DE CARVALHO, CPF: 133.256.556-53 (JÁ FALECIDO).</w:t>
      </w:r>
    </w:p>
    <w:p>
      <w:pPr>
        <w:pStyle w:val="ListParagraph"/>
        <w:ind w:left="0"/>
        <w:rPr>
          <w:rFonts w:ascii="Arial" w:hAnsi="Arial" w:eastAsia="Times New Roman" w:cs="Arial"/>
          <w:kern w:val="0"/>
          <w:lang w:eastAsia="pt-BR"/>
          <w14:ligatures w14:val="none"/>
        </w:rPr>
      </w:pPr>
      <w:r>
        <w:rPr>
          <w:rFonts w:eastAsia="Times New Roman" w:cs="Arial" w:ascii="Arial" w:hAnsi="Arial"/>
          <w:kern w:val="0"/>
          <w:lang w:eastAsia="pt-BR"/>
          <w14:ligatures w14:val="none"/>
        </w:rPr>
      </w:r>
    </w:p>
    <w:p>
      <w:pPr>
        <w:pStyle w:val="ListParagraph"/>
        <w:ind w:left="780"/>
        <w:jc w:val="both"/>
        <w:rPr>
          <w:rFonts w:ascii="Arial" w:hAnsi="Arial" w:eastAsia="Times New Roman" w:cs="Arial"/>
          <w:kern w:val="0"/>
          <w:lang w:eastAsia="pt-BR"/>
          <w14:ligatures w14:val="none"/>
        </w:rPr>
      </w:pPr>
      <w:r>
        <w:rPr/>
        <w:drawing>
          <wp:inline distT="0" distB="0" distL="0" distR="0">
            <wp:extent cx="5400040" cy="1123950"/>
            <wp:effectExtent l="0" t="0" r="0" b="0"/>
            <wp:docPr id="1" name="Imagem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123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Normal"/>
        <w:jc w:val="both"/>
        <w:rPr>
          <w:rFonts w:ascii="Arial" w:hAnsi="Arial" w:cs="Arial"/>
          <w:b/>
        </w:rPr>
      </w:pPr>
      <w:r>
        <w:rPr>
          <w:rFonts w:cs="Arial" w:ascii="Arial" w:hAnsi="Arial"/>
          <w:b/>
        </w:rPr>
        <w:t>Observação: O interessado deverá verificar junto ao Cartório de Registro de Imóveis a existência de novas averbações após esta data.</w:t>
      </w:r>
    </w:p>
    <w:p>
      <w:pPr>
        <w:pStyle w:val="Normal"/>
        <w:jc w:val="center"/>
        <w:rPr>
          <w:rFonts w:ascii="Arial" w:hAnsi="Arial" w:cs="Arial"/>
        </w:rPr>
      </w:pPr>
      <w:r>
        <w:rPr>
          <w:rFonts w:cs="Arial" w:ascii="Arial" w:hAnsi="Arial"/>
          <w:b/>
          <w:bCs/>
        </w:rPr>
        <w:t>CONDIÇÕES:</w:t>
      </w:r>
    </w:p>
    <w:p>
      <w:pPr>
        <w:pStyle w:val="ListParagraph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O leilão estará a cargo do leiloeiro oficial </w:t>
      </w:r>
      <w:r>
        <w:rPr>
          <w:rFonts w:cs="Arial" w:ascii="Arial" w:hAnsi="Arial"/>
          <w:b/>
          <w:bCs/>
        </w:rPr>
        <w:t>Arnaldo Emílio Colombarolli</w:t>
      </w:r>
      <w:r>
        <w:rPr>
          <w:rFonts w:cs="Arial" w:ascii="Arial" w:hAnsi="Arial"/>
        </w:rPr>
        <w:t>, matrícula Jucemg nº 813 (</w:t>
      </w:r>
      <w:hyperlink r:id="rId3" w:tgtFrame="_new">
        <w:r>
          <w:rPr>
            <w:rStyle w:val="Hyperlink"/>
            <w:rFonts w:cs="Arial" w:ascii="Arial" w:hAnsi="Arial"/>
          </w:rPr>
          <w:t>www.arnaldoleiloes.com.br</w:t>
        </w:r>
      </w:hyperlink>
      <w:r>
        <w:rPr>
          <w:rFonts w:cs="Arial" w:ascii="Arial" w:hAnsi="Arial"/>
        </w:rPr>
        <w:t>), a ser realizado no local, data e horário acima especificados.</w:t>
      </w:r>
    </w:p>
    <w:p>
      <w:pPr>
        <w:pStyle w:val="ListParagraph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ListParagraph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O preço mínimo de alienação foi fixado em </w:t>
      </w:r>
      <w:r>
        <w:rPr>
          <w:rFonts w:cs="Arial" w:ascii="Arial" w:hAnsi="Arial"/>
          <w:b/>
          <w:bCs/>
        </w:rPr>
        <w:t>50% do valor da avaliação</w:t>
      </w:r>
      <w:r>
        <w:rPr>
          <w:rFonts w:cs="Arial" w:ascii="Arial" w:hAnsi="Arial"/>
        </w:rPr>
        <w:t xml:space="preserve"> do bem penhorado.</w:t>
      </w:r>
    </w:p>
    <w:p>
      <w:pPr>
        <w:pStyle w:val="ListParagrap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ListParagraph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A comissão do leiloeiro será de </w:t>
      </w:r>
      <w:r>
        <w:rPr>
          <w:rFonts w:cs="Arial" w:ascii="Arial" w:hAnsi="Arial"/>
          <w:b/>
        </w:rPr>
        <w:t>5</w:t>
      </w:r>
      <w:r>
        <w:rPr>
          <w:rFonts w:cs="Arial" w:ascii="Arial" w:hAnsi="Arial"/>
          <w:b/>
          <w:bCs/>
        </w:rPr>
        <w:t>%</w:t>
      </w:r>
      <w:r>
        <w:rPr>
          <w:rFonts w:cs="Arial" w:ascii="Arial" w:hAnsi="Arial"/>
        </w:rPr>
        <w:t xml:space="preserve"> sobre o valor da arrematação para bens imóveis, a ser paga pelo arrematante, remitente ou adjudicante.</w:t>
      </w:r>
    </w:p>
    <w:p>
      <w:pPr>
        <w:pStyle w:val="ListParagrap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ListParagraph"/>
        <w:numPr>
          <w:ilvl w:val="0"/>
          <w:numId w:val="2"/>
        </w:numPr>
        <w:spacing w:lineRule="auto" w:line="240" w:beforeAutospacing="1" w:afterAutospacing="1"/>
        <w:contextualSpacing/>
        <w:jc w:val="both"/>
        <w:rPr>
          <w:rFonts w:ascii="Arial" w:hAnsi="Arial" w:eastAsia="Times New Roman" w:cs="Arial"/>
          <w:kern w:val="0"/>
          <w:lang w:eastAsia="pt-BR"/>
          <w14:ligatures w14:val="none"/>
        </w:rPr>
      </w:pPr>
      <w:r>
        <w:rPr>
          <w:rFonts w:eastAsia="Times New Roman" w:cs="Arial" w:ascii="Arial" w:hAnsi="Arial"/>
          <w:b/>
          <w:kern w:val="0"/>
          <w:lang w:eastAsia="pt-BR"/>
          <w14:ligatures w14:val="none"/>
        </w:rPr>
        <w:t>ACESSO AO IMÓVEL PELO LEILOEIRO:</w:t>
      </w:r>
      <w:r>
        <w:rPr>
          <w:rFonts w:eastAsia="Times New Roman" w:cs="Arial" w:ascii="Arial" w:hAnsi="Arial"/>
          <w:kern w:val="0"/>
          <w:lang w:eastAsia="pt-BR"/>
          <w14:ligatures w14:val="none"/>
        </w:rPr>
        <w:t xml:space="preserve"> Foi autorizado pelo juízo, o acesso do Leiloeiro nomeado aos bens objeto de praça, inclusive para fotografá-los(Prov.04/2007), sujeitando-se o executado à multa no importe de 20%(vinte por cento) sobre o valor da execução(art. 774, CPC), sem prejuízo da ação penal cabível(art. 330 do CP), caso oponha obstáculo aos trabalhos dos Leiloeiros, no exercício de seu mister.</w:t>
      </w:r>
    </w:p>
    <w:p>
      <w:pPr>
        <w:pStyle w:val="ListParagraph"/>
        <w:spacing w:lineRule="auto" w:line="240" w:beforeAutospacing="1" w:afterAutospacing="1"/>
        <w:contextualSpacing/>
        <w:jc w:val="both"/>
        <w:rPr>
          <w:rFonts w:ascii="Arial" w:hAnsi="Arial" w:eastAsia="Times New Roman" w:cs="Arial"/>
          <w:kern w:val="0"/>
          <w:lang w:eastAsia="pt-BR"/>
          <w14:ligatures w14:val="none"/>
        </w:rPr>
      </w:pPr>
      <w:r>
        <w:rPr>
          <w:rFonts w:eastAsia="Times New Roman" w:cs="Arial" w:ascii="Arial" w:hAnsi="Arial"/>
          <w:kern w:val="0"/>
          <w:lang w:eastAsia="pt-BR"/>
          <w14:ligatures w14:val="none"/>
        </w:rPr>
      </w:r>
    </w:p>
    <w:p>
      <w:pPr>
        <w:pStyle w:val="ListParagraph"/>
        <w:numPr>
          <w:ilvl w:val="0"/>
          <w:numId w:val="2"/>
        </w:numPr>
        <w:spacing w:lineRule="auto" w:line="240" w:beforeAutospacing="1" w:afterAutospacing="1"/>
        <w:contextualSpacing/>
        <w:jc w:val="both"/>
        <w:rPr>
          <w:rFonts w:ascii="Arial" w:hAnsi="Arial" w:cs="Arial"/>
        </w:rPr>
      </w:pPr>
      <w:r>
        <w:rPr>
          <w:rFonts w:eastAsia="Times New Roman" w:cs="Arial" w:ascii="Arial" w:hAnsi="Arial"/>
          <w:b/>
          <w:kern w:val="0"/>
          <w:lang w:eastAsia="pt-BR"/>
          <w14:ligatures w14:val="none"/>
        </w:rPr>
        <w:t>ACESSO AO IMÓVEL PELOS INTERESSADOS:</w:t>
      </w:r>
      <w:r>
        <w:rPr>
          <w:rFonts w:eastAsia="Times New Roman" w:cs="Arial" w:ascii="Arial" w:hAnsi="Arial"/>
          <w:kern w:val="0"/>
          <w:lang w:eastAsia="pt-BR"/>
          <w14:ligatures w14:val="none"/>
        </w:rPr>
        <w:t xml:space="preserve"> Ficam os interessados, também, autorizados a vistoriar os bens a serem praceados. Informações por meio do site www.arnaldoleiloes.com.br, e mail arnaldoleiloes@gmail.com e pelos telefones (31) 99992-5828 e (31)99275-3244, Rua Presidente Juscelino Kubtschek, 37-B, Sabará/MG. Escritório e galpão para armazenamento dos bens: rua Sacadura Cabral, 680, Vila Oeste, Belo Horizonte/MG, CEP: 30.532-060.</w:t>
      </w:r>
    </w:p>
    <w:p>
      <w:pPr>
        <w:pStyle w:val="ListParagrap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ListParagraph"/>
        <w:numPr>
          <w:ilvl w:val="0"/>
          <w:numId w:val="2"/>
        </w:numPr>
        <w:spacing w:lineRule="auto" w:line="240" w:beforeAutospacing="1" w:afterAutospacing="1"/>
        <w:contextualSpacing/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Os interessados em participar do leilão devem apresentar </w:t>
      </w:r>
      <w:r>
        <w:rPr>
          <w:rFonts w:cs="Arial" w:ascii="Arial" w:hAnsi="Arial"/>
          <w:b/>
          <w:bCs/>
        </w:rPr>
        <w:t>documento de identificação</w:t>
      </w:r>
      <w:r>
        <w:rPr>
          <w:rFonts w:cs="Arial" w:ascii="Arial" w:hAnsi="Arial"/>
        </w:rPr>
        <w:t xml:space="preserve"> (cédula de identidade civil ou CNH, se pessoa física, ou contrato social e cédula de identidade ou CNH do representante legal, se pessoa jurídica).</w:t>
      </w:r>
    </w:p>
    <w:p>
      <w:pPr>
        <w:pStyle w:val="ListParagrap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ListParagraph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O valor da arrematação deverá ser quitado </w:t>
      </w:r>
      <w:r>
        <w:rPr>
          <w:rFonts w:cs="Arial" w:ascii="Arial" w:hAnsi="Arial"/>
          <w:b/>
          <w:bCs/>
        </w:rPr>
        <w:t>preferencialmente à vista</w:t>
      </w:r>
      <w:r>
        <w:rPr>
          <w:rFonts w:cs="Arial" w:ascii="Arial" w:hAnsi="Arial"/>
        </w:rPr>
        <w:t>, mediante depósito à disposição do Juízo, conforme o art. 245, §1º do Provimento Geral Consolidado/TRT-3ª Região.</w:t>
      </w:r>
    </w:p>
    <w:p>
      <w:pPr>
        <w:pStyle w:val="ListParagrap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b/>
        </w:rPr>
      </w:pPr>
      <w:r>
        <w:rPr>
          <w:rFonts w:cs="Arial" w:ascii="Arial" w:hAnsi="Arial"/>
          <w:b/>
        </w:rPr>
        <w:t>As despesas com transferência do bem, assim como multas e impostos que recaírem sobre o mesmo, correrão por conta do arrematante ou do adjudicante.</w:t>
      </w:r>
    </w:p>
    <w:p>
      <w:pPr>
        <w:pStyle w:val="ListParagraph"/>
        <w:rPr>
          <w:rFonts w:ascii="Arial" w:hAnsi="Arial" w:cs="Arial"/>
          <w:b/>
        </w:rPr>
      </w:pPr>
      <w:r>
        <w:rPr>
          <w:rFonts w:cs="Arial" w:ascii="Arial" w:hAnsi="Arial"/>
          <w:b/>
        </w:rPr>
      </w:r>
    </w:p>
    <w:p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b/>
        </w:rPr>
      </w:pPr>
      <w:r>
        <w:rPr>
          <w:rFonts w:cs="Arial" w:ascii="Arial" w:hAnsi="Arial"/>
        </w:rPr>
        <w:t>Caberá ao interessado verificar a existência de débitos tributários e débitos de taxas condominiais, no caso dos bens imóveis.</w:t>
      </w:r>
    </w:p>
    <w:p>
      <w:pPr>
        <w:pStyle w:val="ListParagraph"/>
        <w:rPr>
          <w:rFonts w:ascii="Arial" w:hAnsi="Arial" w:cs="Arial"/>
          <w:b/>
        </w:rPr>
      </w:pPr>
      <w:r>
        <w:rPr>
          <w:rFonts w:cs="Arial" w:ascii="Arial" w:hAnsi="Arial"/>
          <w:b/>
        </w:rPr>
      </w:r>
    </w:p>
    <w:p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b/>
        </w:rPr>
      </w:pPr>
      <w:r>
        <w:rPr>
          <w:rFonts w:cs="Arial" w:ascii="Arial" w:hAnsi="Arial"/>
        </w:rPr>
        <w:t>Em caso de arrematação ou adjudicação de bem imóvel, caberá ao arrematante ou ao adjudicante arcar com a integralidade dos débitos relativos a taxas condominiais, incluindo valores vencidos em data anterior e posterior à da arrematação ou da adjudicação.</w:t>
      </w:r>
    </w:p>
    <w:p>
      <w:pPr>
        <w:pStyle w:val="ListParagraph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ListParagraph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cs="Arial" w:ascii="Arial" w:hAnsi="Arial"/>
          <w:b/>
          <w:bCs/>
        </w:rPr>
        <w:t>Registre-se que a apresentação de proposta de parcelamento por escrito não suspenderá a realização do leilão e será apreciada, oportunamente, pelo Juízo.</w:t>
      </w:r>
    </w:p>
    <w:p>
      <w:pPr>
        <w:pStyle w:val="ListParagraph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Em caso de </w:t>
      </w:r>
      <w:r>
        <w:rPr>
          <w:rFonts w:cs="Arial" w:ascii="Arial" w:hAnsi="Arial"/>
          <w:b/>
          <w:bCs/>
        </w:rPr>
        <w:t>desfeita da arrematação</w:t>
      </w:r>
      <w:r>
        <w:rPr>
          <w:rFonts w:cs="Arial" w:ascii="Arial" w:hAnsi="Arial"/>
        </w:rPr>
        <w:t xml:space="preserve">, remição ou adjudicação, os valores depositados serão </w:t>
      </w:r>
      <w:r>
        <w:rPr>
          <w:rFonts w:cs="Arial" w:ascii="Arial" w:hAnsi="Arial"/>
          <w:b/>
          <w:bCs/>
        </w:rPr>
        <w:t>restituídos ao arrematante</w:t>
      </w:r>
      <w:r>
        <w:rPr>
          <w:rFonts w:cs="Arial" w:ascii="Arial" w:hAnsi="Arial"/>
        </w:rPr>
        <w:t>, inclusive a comissão do leiloeiro, se for o caso.</w:t>
      </w:r>
    </w:p>
    <w:p>
      <w:pPr>
        <w:pStyle w:val="ListParagraph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Não será devida </w:t>
      </w:r>
      <w:r>
        <w:rPr>
          <w:rFonts w:cs="Arial" w:ascii="Arial" w:hAnsi="Arial"/>
          <w:b/>
          <w:bCs/>
        </w:rPr>
        <w:t>comissão ao leiloeiro</w:t>
      </w:r>
      <w:r>
        <w:rPr>
          <w:rFonts w:cs="Arial" w:ascii="Arial" w:hAnsi="Arial"/>
        </w:rPr>
        <w:t xml:space="preserve"> na hipótese de desistência, anulação ou ineficácia da arrematação ou resultado negativo do leilão.</w:t>
      </w:r>
    </w:p>
    <w:p>
      <w:pPr>
        <w:pStyle w:val="ListParagraph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ListParagraph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cs="Arial" w:ascii="Arial" w:hAnsi="Arial"/>
          <w:b/>
          <w:bCs/>
        </w:rPr>
        <w:t>Em caso de remição ou adjudicação</w:t>
      </w:r>
      <w:r>
        <w:rPr>
          <w:rFonts w:cs="Arial" w:ascii="Arial" w:hAnsi="Arial"/>
        </w:rPr>
        <w:t>, o leiloeiro será remunerado pelo remetente ou adjudicante, com pagamento devido no ato da remição ou antes da assinatura da carta de adjudicação.</w:t>
      </w:r>
    </w:p>
    <w:p>
      <w:pPr>
        <w:pStyle w:val="ListParagrap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ListParagraph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Se houver </w:t>
      </w:r>
      <w:r>
        <w:rPr>
          <w:rFonts w:cs="Arial" w:ascii="Arial" w:hAnsi="Arial"/>
          <w:b/>
          <w:bCs/>
        </w:rPr>
        <w:t>acordo ou remição após o leilão</w:t>
      </w:r>
      <w:r>
        <w:rPr>
          <w:rFonts w:cs="Arial" w:ascii="Arial" w:hAnsi="Arial"/>
        </w:rPr>
        <w:t>, o leiloeiro fará jus à comissão, conforme o art. 246, §1º do Provimento Geral Consolidado/TRT-3ª Região.</w:t>
      </w:r>
    </w:p>
    <w:p>
      <w:pPr>
        <w:pStyle w:val="ListParagrap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ListParagraph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O arrematante não poderá alegar desconhecimento das condições do leilão ou das características do bem, sendo de sua responsabilidade verificar </w:t>
      </w:r>
      <w:r>
        <w:rPr>
          <w:rFonts w:cs="Arial" w:ascii="Arial" w:hAnsi="Arial"/>
          <w:b/>
          <w:bCs/>
        </w:rPr>
        <w:t>encargos sobre o bem</w:t>
      </w:r>
      <w:r>
        <w:rPr>
          <w:rFonts w:cs="Arial" w:ascii="Arial" w:hAnsi="Arial"/>
        </w:rPr>
        <w:t>, mesmo que não expressos no edital.</w:t>
      </w:r>
    </w:p>
    <w:p>
      <w:pPr>
        <w:pStyle w:val="ListParagrap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ListParagraph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O(s) bem(ns) será(ão) </w:t>
      </w:r>
      <w:r>
        <w:rPr>
          <w:rFonts w:cs="Arial" w:ascii="Arial" w:hAnsi="Arial"/>
          <w:b/>
          <w:bCs/>
        </w:rPr>
        <w:t>vendido(s) no estado de conservação em que se encontra(m)</w:t>
      </w:r>
      <w:r>
        <w:rPr>
          <w:rFonts w:cs="Arial" w:ascii="Arial" w:hAnsi="Arial"/>
        </w:rPr>
        <w:t>, sem garantia. É de responsabilidade do interessado verificar as condições do bem.</w:t>
      </w:r>
    </w:p>
    <w:p>
      <w:pPr>
        <w:pStyle w:val="ListParagrap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ListParagraph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O valor total da </w:t>
      </w:r>
      <w:r>
        <w:rPr>
          <w:rFonts w:cs="Arial" w:ascii="Arial" w:hAnsi="Arial"/>
          <w:b/>
          <w:bCs/>
        </w:rPr>
        <w:t>arrematação</w:t>
      </w:r>
      <w:r>
        <w:rPr>
          <w:rFonts w:cs="Arial" w:ascii="Arial" w:hAnsi="Arial"/>
        </w:rPr>
        <w:t xml:space="preserve"> deverá ser depositado pelo arrematante no prazo máximo de </w:t>
      </w:r>
      <w:r>
        <w:rPr>
          <w:rFonts w:cs="Arial" w:ascii="Arial" w:hAnsi="Arial"/>
          <w:b/>
          <w:bCs/>
        </w:rPr>
        <w:t>2 dias após o encerramento do leilão</w:t>
      </w:r>
      <w:r>
        <w:rPr>
          <w:rFonts w:cs="Arial" w:ascii="Arial" w:hAnsi="Arial"/>
        </w:rPr>
        <w:t>.</w:t>
      </w:r>
    </w:p>
    <w:p>
      <w:pPr>
        <w:pStyle w:val="ListParagrap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ListParagraph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Se houver </w:t>
      </w:r>
      <w:r>
        <w:rPr>
          <w:rFonts w:cs="Arial" w:ascii="Arial" w:hAnsi="Arial"/>
          <w:b/>
          <w:bCs/>
        </w:rPr>
        <w:t>desistência da arrematação</w:t>
      </w:r>
      <w:r>
        <w:rPr>
          <w:rFonts w:cs="Arial" w:ascii="Arial" w:hAnsi="Arial"/>
        </w:rPr>
        <w:t xml:space="preserve"> fora das hipóteses legais, o arrematante poderá ser </w:t>
      </w:r>
      <w:r>
        <w:rPr>
          <w:rFonts w:cs="Arial" w:ascii="Arial" w:hAnsi="Arial"/>
          <w:b/>
          <w:bCs/>
        </w:rPr>
        <w:t>multado</w:t>
      </w:r>
      <w:r>
        <w:rPr>
          <w:rFonts w:cs="Arial" w:ascii="Arial" w:hAnsi="Arial"/>
        </w:rPr>
        <w:t>, além de ter que pagar a comissão do leiloeiro.</w:t>
      </w:r>
    </w:p>
    <w:p>
      <w:pPr>
        <w:pStyle w:val="ListParagrap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ListParagraph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A comissão do leiloeiro </w:t>
      </w:r>
      <w:r>
        <w:rPr>
          <w:rFonts w:cs="Arial" w:ascii="Arial" w:hAnsi="Arial"/>
          <w:b/>
          <w:bCs/>
        </w:rPr>
        <w:t>não será devolvida</w:t>
      </w:r>
      <w:r>
        <w:rPr>
          <w:rFonts w:cs="Arial" w:ascii="Arial" w:hAnsi="Arial"/>
        </w:rPr>
        <w:t xml:space="preserve"> se a arrematação for anulada, invalidada ou considerada ineficaz por culpa do arrematante.</w:t>
      </w:r>
    </w:p>
    <w:p>
      <w:pPr>
        <w:pStyle w:val="ListParagrap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ListParagraph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Se o valor da </w:t>
      </w:r>
      <w:r>
        <w:rPr>
          <w:rFonts w:cs="Arial" w:ascii="Arial" w:hAnsi="Arial"/>
          <w:b/>
          <w:bCs/>
        </w:rPr>
        <w:t>arrematação</w:t>
      </w:r>
      <w:r>
        <w:rPr>
          <w:rFonts w:cs="Arial" w:ascii="Arial" w:hAnsi="Arial"/>
        </w:rPr>
        <w:t xml:space="preserve"> for superior ao crédito do exequente, a comissão do leiloeiro e as despesas com remoção, guarda e conservação dos bens poderão ser deduzidas do produto da arrematação.</w:t>
      </w:r>
    </w:p>
    <w:p>
      <w:pPr>
        <w:pStyle w:val="ListParagrap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ListParagraph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Nos termos do art. 358 do Código Penal, quem impedir ou fraudar a arrematação judicial, afastar concorrentes ou licitantes por violência, ameaça, fraude ou vantagem, estará sujeito a </w:t>
      </w:r>
      <w:r>
        <w:rPr>
          <w:rFonts w:cs="Arial" w:ascii="Arial" w:hAnsi="Arial"/>
          <w:b/>
          <w:bCs/>
        </w:rPr>
        <w:t>pena de detenção de dois meses a um ano</w:t>
      </w:r>
      <w:r>
        <w:rPr>
          <w:rFonts w:cs="Arial" w:ascii="Arial" w:hAnsi="Arial"/>
        </w:rPr>
        <w:t>, ou multa, além da pena correspondente à violência.</w:t>
      </w:r>
    </w:p>
    <w:p>
      <w:pPr>
        <w:pStyle w:val="ListParagrap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ListParagraph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Ficam intimadas as </w:t>
      </w:r>
      <w:r>
        <w:rPr>
          <w:rFonts w:cs="Arial" w:ascii="Arial" w:hAnsi="Arial"/>
          <w:b/>
          <w:bCs/>
        </w:rPr>
        <w:t>partes, coproprietários, cônjuges, credores hipotecários, fiduciários e credores com penhoras averbadas</w:t>
      </w:r>
      <w:r>
        <w:rPr>
          <w:rFonts w:cs="Arial" w:ascii="Arial" w:hAnsi="Arial"/>
        </w:rPr>
        <w:t>.</w:t>
      </w:r>
    </w:p>
    <w:p>
      <w:pPr>
        <w:pStyle w:val="ListParagrap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ListParagraph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Ficam intimados o(s) </w:t>
      </w:r>
      <w:r>
        <w:rPr>
          <w:rFonts w:cs="Arial" w:ascii="Arial" w:hAnsi="Arial"/>
          <w:b/>
          <w:bCs/>
        </w:rPr>
        <w:t>devedor(es) e/ou depositário(s)</w:t>
      </w:r>
      <w:r>
        <w:rPr>
          <w:rFonts w:cs="Arial" w:ascii="Arial" w:hAnsi="Arial"/>
        </w:rPr>
        <w:t xml:space="preserve"> não localizado(s).</w:t>
      </w:r>
    </w:p>
    <w:p>
      <w:pPr>
        <w:pStyle w:val="ListParagrap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ListParagraph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A arrematação será considerada concluída somente após a </w:t>
      </w:r>
      <w:r>
        <w:rPr>
          <w:rFonts w:cs="Arial" w:ascii="Arial" w:hAnsi="Arial"/>
          <w:b/>
          <w:bCs/>
        </w:rPr>
        <w:t>homologação pelo MM Juiz</w:t>
      </w:r>
      <w:r>
        <w:rPr>
          <w:rFonts w:cs="Arial" w:ascii="Arial" w:hAnsi="Arial"/>
        </w:rPr>
        <w:t xml:space="preserve"> da vara competente.</w:t>
      </w:r>
    </w:p>
    <w:p>
      <w:pPr>
        <w:pStyle w:val="ListParagrap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ListParagraph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cs="Arial" w:ascii="Arial" w:hAnsi="Arial"/>
          <w:b/>
          <w:bCs/>
        </w:rPr>
        <w:t>LEIA O EDITAL.</w:t>
      </w:r>
      <w:r>
        <w:rPr>
          <w:rFonts w:cs="Arial" w:ascii="Arial" w:hAnsi="Arial"/>
        </w:rPr>
        <w:t xml:space="preserve"> Em caso de dúvida, o que estiver disposto no edital é o que prevalecerá.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Web"/>
        <w:spacing w:before="280" w:after="280"/>
        <w:jc w:val="center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sectPr>
      <w:type w:val="nextPage"/>
      <w:pgSz w:w="11906" w:h="16838"/>
      <w:pgMar w:left="1701" w:right="1701" w:gutter="0" w:header="0" w:top="1417" w:footer="0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0"/>
        </w:tabs>
        <w:ind w:left="78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5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22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94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8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10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8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540" w:hanging="360"/>
      </w:pPr>
      <w:rPr>
        <w:rFonts w:ascii="Wingdings" w:hAnsi="Wingdings" w:cs="Wingdings" w:hint="default"/>
      </w:rPr>
    </w:lvl>
  </w:abstractNum>
  <w:abstractNum w:abstractNumId="4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t-BR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ce1142"/>
    <w:pPr>
      <w:widowControl/>
      <w:bidi w:val="0"/>
      <w:spacing w:lineRule="auto" w:line="259" w:before="0" w:after="160"/>
      <w:jc w:val="left"/>
    </w:pPr>
    <w:rPr>
      <w:rFonts w:ascii="Calibri" w:hAnsi="Calibri" w:eastAsia="Calibri" w:cs=""/>
      <w:color w:val="auto"/>
      <w:kern w:val="2"/>
      <w:sz w:val="22"/>
      <w:szCs w:val="22"/>
      <w:lang w:val="pt-BR" w:eastAsia="en-US" w:bidi="ar-SA"/>
      <w14:ligatures w14:val="standardContextual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yperlink">
    <w:name w:val="Hyperlink"/>
    <w:basedOn w:val="DefaultParagraphFont"/>
    <w:uiPriority w:val="99"/>
    <w:unhideWhenUsed/>
    <w:rsid w:val="00ce1142"/>
    <w:rPr>
      <w:color w:themeColor="hyperlink" w:val="0563C1"/>
      <w:u w:val="single"/>
    </w:rPr>
  </w:style>
  <w:style w:type="character" w:styleId="Strong">
    <w:name w:val="Strong"/>
    <w:basedOn w:val="DefaultParagraphFont"/>
    <w:uiPriority w:val="22"/>
    <w:qFormat/>
    <w:rsid w:val="00ce1142"/>
    <w:rPr>
      <w:b/>
      <w:bCs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34"/>
    <w:qFormat/>
    <w:rsid w:val="00ce1142"/>
    <w:pPr>
      <w:spacing w:before="0" w:after="160"/>
      <w:ind w:left="720"/>
      <w:contextualSpacing/>
    </w:pPr>
    <w:rPr/>
  </w:style>
  <w:style w:type="paragraph" w:styleId="NoSpacing">
    <w:name w:val="No Spacing"/>
    <w:uiPriority w:val="1"/>
    <w:qFormat/>
    <w:rsid w:val="00ce1142"/>
    <w:pPr>
      <w:widowControl/>
      <w:bidi w:val="0"/>
      <w:spacing w:lineRule="auto" w:line="240" w:before="0" w:after="0"/>
      <w:jc w:val="left"/>
    </w:pPr>
    <w:rPr>
      <w:rFonts w:ascii="Calibri" w:hAnsi="Calibri" w:eastAsia="Calibri" w:cs=""/>
      <w:color w:val="auto"/>
      <w:kern w:val="2"/>
      <w:sz w:val="22"/>
      <w:szCs w:val="22"/>
      <w:lang w:val="pt-BR" w:eastAsia="en-US" w:bidi="ar-SA"/>
      <w14:ligatures w14:val="standardContextual"/>
    </w:rPr>
  </w:style>
  <w:style w:type="paragraph" w:styleId="NormalWeb">
    <w:name w:val="Normal (Web)"/>
    <w:basedOn w:val="Normal"/>
    <w:uiPriority w:val="99"/>
    <w:unhideWhenUsed/>
    <w:qFormat/>
    <w:rsid w:val="00ce1142"/>
    <w:pPr>
      <w:suppressAutoHyphens w:val="true"/>
      <w:spacing w:lineRule="auto" w:line="240" w:beforeAutospacing="1" w:afterAutospacing="1"/>
    </w:pPr>
    <w:rPr>
      <w:rFonts w:ascii="Times New Roman" w:hAnsi="Times New Roman" w:eastAsia="Times New Roman" w:cs="Times New Roman"/>
      <w:kern w:val="0"/>
      <w:sz w:val="24"/>
      <w:szCs w:val="24"/>
      <w:lang w:eastAsia="pt-BR"/>
      <w14:ligatures w14:val="none"/>
    </w:rPr>
  </w:style>
  <w:style w:type="numbering" w:styleId="Semlista" w:default="1">
    <w:name w:val="Sem lista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http://www.arnaldoleiloes.com.br/" TargetMode="Externa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Application>LibreOffice/25.2.7.2$Windows_X86_64 LibreOffice_project/5cbfd1ab6520636bb5f7b99185aa69bd7456825d</Application>
  <AppVersion>15.0000</AppVersion>
  <Pages>4</Pages>
  <Words>1071</Words>
  <Characters>5991</Characters>
  <CharactersWithSpaces>6996</CharactersWithSpaces>
  <Paragraphs>47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2026-02-27T18:53:00Z</dcterms:created>
  <dc:creator>Dep_pessoal8</dc:creator>
  <dc:description/>
  <dc:language>pt-BR</dc:language>
  <cp:lastModifiedBy/>
  <cp:lastPrinted>2026-03-06T09:09:58Z</cp:lastPrinted>
  <dcterms:modified xsi:type="dcterms:W3CDTF">2026-03-06T09:10:03Z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