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spacing w:lineRule="auto" w:line="276"/>
        <w:jc w:val="center"/>
        <w:rPr>
          <w:rFonts w:ascii="Arial" w:hAnsi="Arial" w:eastAsia="Times New Roman" w:cs="Arial"/>
          <w:b/>
          <w:shd w:fill="FEFFFE" w:val="clear"/>
          <w:lang w:eastAsia="pt-BR"/>
        </w:rPr>
      </w:pPr>
      <w:bookmarkStart w:id="0" w:name="_Hlk183176206"/>
      <w:r>
        <w:rPr>
          <w:rFonts w:eastAsia="Times New Roman" w:cs="Arial" w:ascii="Arial" w:hAnsi="Arial"/>
          <w:b/>
          <w:shd w:fill="FEFFFE" w:val="clear"/>
          <w:lang w:eastAsia="pt-BR"/>
        </w:rPr>
        <w:t>EDITAL DE LEILÃO</w:t>
      </w:r>
    </w:p>
    <w:p>
      <w:pPr>
        <w:pStyle w:val="NoSpacing"/>
        <w:spacing w:lineRule="auto" w:line="276"/>
        <w:jc w:val="center"/>
        <w:rPr>
          <w:rFonts w:ascii="Arial" w:hAnsi="Arial" w:eastAsia="Times New Roman" w:cs="Arial"/>
          <w:b/>
          <w:shd w:fill="FEFFFE" w:val="clear"/>
          <w:lang w:eastAsia="pt-BR"/>
        </w:rPr>
      </w:pPr>
      <w:r>
        <w:rPr>
          <w:rFonts w:eastAsia="Times New Roman" w:cs="Arial" w:ascii="Arial" w:hAnsi="Arial"/>
          <w:b/>
          <w:shd w:fill="FEFFFE" w:val="clear"/>
          <w:lang w:eastAsia="pt-BR"/>
        </w:rPr>
        <w:t>19ª Vara do Trabalho de Belo Horizonte</w:t>
      </w:r>
    </w:p>
    <w:p>
      <w:pPr>
        <w:pStyle w:val="NoSpacing"/>
        <w:spacing w:lineRule="auto" w:line="276"/>
        <w:jc w:val="center"/>
        <w:rPr>
          <w:rFonts w:ascii="Arial" w:hAnsi="Arial" w:eastAsia="Times New Roman" w:cs="Arial"/>
          <w:b/>
          <w:shd w:fill="FEFFFE" w:val="clear"/>
          <w:lang w:eastAsia="pt-BR"/>
        </w:rPr>
      </w:pPr>
      <w:r>
        <w:rPr>
          <w:rFonts w:eastAsia="Times New Roman" w:cs="Arial" w:ascii="Arial" w:hAnsi="Arial"/>
          <w:b/>
          <w:shd w:fill="FEFFFE" w:val="clear"/>
          <w:lang w:eastAsia="pt-BR"/>
        </w:rPr>
        <w:t xml:space="preserve">Rua Goitacazes, n° 1.475, Barro Preto, Belo Horizonte – MG – Cep 30190-055 </w:t>
      </w:r>
    </w:p>
    <w:p>
      <w:pPr>
        <w:pStyle w:val="NoSpacing"/>
        <w:spacing w:lineRule="auto" w:line="276"/>
        <w:jc w:val="center"/>
        <w:rPr>
          <w:rFonts w:ascii="Arial" w:hAnsi="Arial" w:eastAsia="Times New Roman" w:cs="Arial"/>
          <w:b/>
          <w:shd w:fill="FEFFFE" w:val="clear"/>
          <w:lang w:eastAsia="pt-BR"/>
        </w:rPr>
      </w:pPr>
      <w:r>
        <w:rPr>
          <w:rFonts w:eastAsia="Times New Roman" w:cs="Arial" w:ascii="Arial" w:hAnsi="Arial"/>
          <w:b/>
          <w:shd w:fill="FEFFFE" w:val="clear"/>
          <w:lang w:eastAsia="pt-BR"/>
        </w:rPr>
        <w:t xml:space="preserve"> </w:t>
      </w:r>
      <w:r>
        <w:rPr>
          <w:rFonts w:eastAsia="Times New Roman" w:cs="Arial" w:ascii="Arial" w:hAnsi="Arial"/>
          <w:b/>
          <w:shd w:fill="FEFFFE" w:val="clear"/>
          <w:lang w:eastAsia="pt-BR"/>
        </w:rPr>
        <w:t>e-mail: varabh19@trt3.jus.br</w:t>
      </w:r>
    </w:p>
    <w:p>
      <w:pPr>
        <w:pStyle w:val="NoSpacing"/>
        <w:spacing w:lineRule="auto" w:line="276"/>
        <w:jc w:val="both"/>
        <w:rPr>
          <w:rFonts w:ascii="Arial" w:hAnsi="Arial" w:eastAsia="Times New Roman" w:cs="Arial"/>
          <w:b/>
          <w:shd w:fill="FEFFFE" w:val="clear"/>
          <w:lang w:eastAsia="pt-BR"/>
        </w:rPr>
      </w:pPr>
      <w:r>
        <w:rPr>
          <w:rFonts w:eastAsia="Times New Roman" w:cs="Arial" w:ascii="Arial" w:hAnsi="Arial"/>
          <w:b/>
          <w:shd w:fill="FEFFFE" w:val="clear"/>
          <w:lang w:eastAsia="pt-BR"/>
        </w:rPr>
      </w:r>
    </w:p>
    <w:p>
      <w:pPr>
        <w:pStyle w:val="Normal"/>
        <w:spacing w:before="0" w:after="0"/>
        <w:rPr>
          <w:rFonts w:ascii="Arial" w:hAnsi="Arial" w:cs="Arial"/>
          <w:b/>
        </w:rPr>
      </w:pPr>
      <w:r>
        <w:rPr>
          <w:rFonts w:cs="Arial" w:ascii="Arial" w:hAnsi="Arial"/>
          <w:b/>
        </w:rPr>
        <w:t>PROCESSO nº</w:t>
      </w:r>
      <w:r>
        <w:rPr>
          <w:rFonts w:cs="Arial" w:ascii="Arial" w:hAnsi="Arial"/>
        </w:rPr>
        <w:t xml:space="preserve"> </w:t>
      </w:r>
      <w:r>
        <w:rPr>
          <w:rStyle w:val="Strong"/>
          <w:rFonts w:cs="Arial" w:ascii="Arial" w:hAnsi="Arial"/>
        </w:rPr>
        <w:t>CartPrecCiv 0010297-29.2025.5.03.0019</w:t>
      </w:r>
      <w:r>
        <w:rPr>
          <w:rFonts w:cs="Arial" w:ascii="Arial" w:hAnsi="Arial"/>
        </w:rPr>
        <w:t xml:space="preserve"> </w:t>
        <w:br/>
      </w:r>
      <w:r>
        <w:rPr>
          <w:rFonts w:cs="Arial" w:ascii="Arial" w:hAnsi="Arial"/>
          <w:b/>
        </w:rPr>
        <w:t xml:space="preserve">AUTOR: LEANDRO ALVIM MARINATO </w:t>
        <w:br/>
        <w:t>RÉU: SAGRADO CORACAO TRANSPORTES LTDA E OUTROS (7)</w:t>
      </w:r>
    </w:p>
    <w:p>
      <w:pPr>
        <w:pStyle w:val="Normal"/>
        <w:spacing w:before="0" w:after="0"/>
        <w:rPr>
          <w:rFonts w:ascii="Arial" w:hAnsi="Arial" w:cs="Arial"/>
          <w:b/>
        </w:rPr>
      </w:pPr>
      <w:r>
        <w:rPr>
          <w:rFonts w:cs="Arial" w:ascii="Arial" w:hAnsi="Arial"/>
          <w:b/>
        </w:rPr>
        <w:t>JUIZO DEPRECANTE: 6° Vara do Trabalho de Contagem -  0012021-02-2017.5.03.0164</w:t>
      </w:r>
    </w:p>
    <w:p>
      <w:pPr>
        <w:pStyle w:val="Normal"/>
        <w:spacing w:before="0" w:after="0"/>
        <w:rPr>
          <w:rFonts w:ascii="Arial" w:hAnsi="Arial" w:cs="Arial"/>
        </w:rPr>
      </w:pPr>
      <w:r>
        <w:rPr>
          <w:rFonts w:cs="Arial" w:ascii="Arial" w:hAnsi="Arial"/>
        </w:rPr>
      </w:r>
    </w:p>
    <w:p>
      <w:pPr>
        <w:pStyle w:val="Normal"/>
        <w:rPr>
          <w:rFonts w:ascii="Arial" w:hAnsi="Arial" w:cs="Arial"/>
        </w:rPr>
      </w:pPr>
      <w:r>
        <w:rPr>
          <w:rFonts w:cs="Arial" w:ascii="Arial" w:hAnsi="Arial"/>
          <w:b/>
          <w:bCs/>
        </w:rPr>
        <w:t>DATA E LOCAL DO LEILÃO</w:t>
      </w:r>
      <w:r>
        <w:rPr>
          <w:rFonts w:cs="Arial" w:ascii="Arial" w:hAnsi="Arial"/>
        </w:rPr>
        <w:br/>
      </w:r>
      <w:r>
        <w:rPr>
          <w:rFonts w:cs="Arial" w:ascii="Arial" w:hAnsi="Arial"/>
          <w:b/>
          <w:bCs/>
        </w:rPr>
        <w:t>Leilão Virtual e Presencial</w:t>
      </w:r>
      <w:r>
        <w:rPr>
          <w:rFonts w:cs="Arial" w:ascii="Arial" w:hAnsi="Arial"/>
        </w:rPr>
        <w:br/>
      </w:r>
      <w:r>
        <w:rPr>
          <w:rFonts w:cs="Arial" w:ascii="Arial" w:hAnsi="Arial"/>
          <w:b/>
          <w:bCs/>
        </w:rPr>
        <w:t>Data e Hora:</w:t>
      </w:r>
      <w:r>
        <w:rPr>
          <w:rFonts w:cs="Arial" w:ascii="Arial" w:hAnsi="Arial"/>
        </w:rPr>
        <w:t xml:space="preserve"> 15/04/2026, às 14h00.</w:t>
        <w:br/>
      </w:r>
      <w:r>
        <w:rPr>
          <w:rFonts w:cs="Arial" w:ascii="Arial" w:hAnsi="Arial"/>
          <w:b/>
          <w:bCs/>
        </w:rPr>
        <w:t>Local Presencial:</w:t>
      </w:r>
      <w:r>
        <w:rPr>
          <w:rFonts w:cs="Arial" w:ascii="Arial" w:hAnsi="Arial"/>
        </w:rPr>
        <w:t xml:space="preserve"> Rua Sacadura Cabral, nº 680, Vila Oeste, Belo Horizonte/MG.</w:t>
        <w:br/>
      </w:r>
      <w:r>
        <w:rPr>
          <w:rFonts w:cs="Arial" w:ascii="Arial" w:hAnsi="Arial"/>
          <w:b/>
          <w:bCs/>
        </w:rPr>
        <w:t>Modalidade:</w:t>
      </w:r>
      <w:r>
        <w:rPr>
          <w:rFonts w:cs="Arial" w:ascii="Arial" w:hAnsi="Arial"/>
        </w:rPr>
        <w:t xml:space="preserve"> Virtual e Presencial.</w:t>
      </w:r>
    </w:p>
    <w:p>
      <w:pPr>
        <w:pStyle w:val="Normal"/>
        <w:rPr>
          <w:rFonts w:ascii="Arial" w:hAnsi="Arial" w:cs="Arial"/>
        </w:rPr>
      </w:pPr>
      <w:r>
        <w:rPr>
          <w:rFonts w:cs="Arial" w:ascii="Arial" w:hAnsi="Arial"/>
          <w:b/>
          <w:bCs/>
        </w:rPr>
        <w:t>DATA E LOCAL DO LEILÃO</w:t>
      </w:r>
      <w:r>
        <w:rPr>
          <w:rFonts w:cs="Arial" w:ascii="Arial" w:hAnsi="Arial"/>
        </w:rPr>
        <w:br/>
      </w:r>
      <w:r>
        <w:rPr>
          <w:rFonts w:cs="Arial" w:ascii="Arial" w:hAnsi="Arial"/>
          <w:b/>
          <w:bCs/>
        </w:rPr>
        <w:t>Leilão Virtual e Presencial</w:t>
      </w:r>
      <w:r>
        <w:rPr>
          <w:rFonts w:cs="Arial" w:ascii="Arial" w:hAnsi="Arial"/>
        </w:rPr>
        <w:br/>
      </w:r>
      <w:r>
        <w:rPr>
          <w:rFonts w:cs="Arial" w:ascii="Arial" w:hAnsi="Arial"/>
          <w:b/>
          <w:bCs/>
        </w:rPr>
        <w:t>Data e Hora:</w:t>
      </w:r>
      <w:r>
        <w:rPr>
          <w:rFonts w:cs="Arial" w:ascii="Arial" w:hAnsi="Arial"/>
        </w:rPr>
        <w:t xml:space="preserve"> 14/05/2026, às 14h15m.</w:t>
        <w:br/>
      </w:r>
      <w:r>
        <w:rPr>
          <w:rFonts w:cs="Arial" w:ascii="Arial" w:hAnsi="Arial"/>
          <w:b/>
          <w:bCs/>
        </w:rPr>
        <w:t>Local Presencial:</w:t>
      </w:r>
      <w:r>
        <w:rPr>
          <w:rFonts w:cs="Arial" w:ascii="Arial" w:hAnsi="Arial"/>
        </w:rPr>
        <w:t xml:space="preserve"> Rua Sacadura Cabral, nº 680, Vila Oeste, Belo Horizonte/MG.</w:t>
        <w:br/>
      </w:r>
      <w:r>
        <w:rPr>
          <w:rFonts w:cs="Arial" w:ascii="Arial" w:hAnsi="Arial"/>
          <w:b/>
          <w:bCs/>
        </w:rPr>
        <w:t>Modalidade:</w:t>
      </w:r>
      <w:r>
        <w:rPr>
          <w:rFonts w:cs="Arial" w:ascii="Arial" w:hAnsi="Arial"/>
        </w:rPr>
        <w:t xml:space="preserve"> Virtual e Presencial.</w:t>
      </w:r>
    </w:p>
    <w:p>
      <w:pPr>
        <w:pStyle w:val="Normal"/>
        <w:pBdr>
          <w:bottom w:val="single" w:sz="4" w:space="1" w:color="000000"/>
        </w:pBdr>
        <w:tabs>
          <w:tab w:val="clear" w:pos="708"/>
          <w:tab w:val="left" w:pos="567" w:leader="none"/>
        </w:tabs>
        <w:jc w:val="both"/>
        <w:rPr>
          <w:rFonts w:ascii="Arial" w:hAnsi="Arial" w:cs="Arial"/>
          <w:b/>
          <w:color w:val="FF0000"/>
          <w:shd w:fill="FFFFFF" w:val="clear"/>
        </w:rPr>
      </w:pPr>
      <w:r>
        <w:rPr>
          <w:rFonts w:cs="Arial" w:ascii="Arial" w:hAnsi="Arial"/>
          <w:b/>
          <w:color w:val="FF0000"/>
          <w:shd w:fill="FFFFFF" w:val="clear"/>
        </w:rPr>
        <w:t xml:space="preserve">ATENÇÃO: O LEILÃO inicia às 14:00 horas, seguindo a ordem dos lotes, o lote que tiver lances será imediatamente encerrado no maior lance. Assim, não é obrigatório encerrar o leilão às 16:00 horas do lote que já foi finalizado. </w:t>
      </w:r>
    </w:p>
    <w:p>
      <w:pPr>
        <w:pStyle w:val="Normal"/>
        <w:jc w:val="both"/>
        <w:rPr>
          <w:rFonts w:ascii="Arial" w:hAnsi="Arial" w:eastAsia="SimSun" w:cs="Arial"/>
          <w:shd w:fill="FEFFFE" w:val="clear"/>
          <w:lang w:eastAsia="zh-CN" w:bidi="hi-IN"/>
        </w:rPr>
      </w:pPr>
      <w:r>
        <w:rPr>
          <w:rFonts w:eastAsia="SimSun" w:cs="Arial" w:ascii="Arial" w:hAnsi="Arial"/>
          <w:b/>
          <w:shd w:fill="FEFFFE" w:val="clear"/>
          <w:lang w:eastAsia="zh-CN" w:bidi="hi-IN"/>
        </w:rPr>
        <w:t>LEILÃO VIRTUAL- ON LINE</w:t>
      </w:r>
      <w:r>
        <w:rPr>
          <w:rFonts w:eastAsia="SimSun" w:cs="Arial" w:ascii="Arial" w:hAnsi="Arial"/>
          <w:shd w:fill="FEFFFE" w:val="clear"/>
          <w:lang w:eastAsia="zh-CN" w:bidi="hi-IN"/>
        </w:rPr>
        <w:t xml:space="preserve"> - O leilão será realizado também na forma VIRTUAL com o cadastramento no site </w:t>
      </w:r>
      <w:hyperlink r:id="rId2">
        <w:r>
          <w:rPr>
            <w:rStyle w:val="Hyperlink"/>
            <w:rFonts w:eastAsia="SimSun" w:cs="Arial" w:ascii="Arial" w:hAnsi="Arial"/>
            <w:shd w:fill="FEFFFE" w:val="clear"/>
            <w:lang w:eastAsia="zh-CN" w:bidi="hi-IN"/>
          </w:rPr>
          <w:t>WWW.arnaldoleiloes.com.br</w:t>
        </w:r>
      </w:hyperlink>
      <w:r>
        <w:rPr>
          <w:rFonts w:eastAsia="SimSun" w:cs="Arial" w:ascii="Arial" w:hAnsi="Arial"/>
          <w:shd w:fill="FEFFFE" w:val="clear"/>
          <w:lang w:eastAsia="zh-CN" w:bidi="hi-IN"/>
        </w:rPr>
        <w:t xml:space="preserve">, </w:t>
      </w:r>
      <w:r>
        <w:rPr>
          <w:rFonts w:cs="Arial" w:ascii="Arial" w:hAnsi="Arial"/>
        </w:rPr>
        <w:t xml:space="preserve"> onde foi publicado o presente edital (art.887, §2º, CPC).</w:t>
      </w:r>
    </w:p>
    <w:p>
      <w:pPr>
        <w:pStyle w:val="Normal"/>
        <w:tabs>
          <w:tab w:val="clear" w:pos="708"/>
          <w:tab w:val="left" w:pos="567" w:leader="none"/>
        </w:tabs>
        <w:jc w:val="both"/>
        <w:rPr>
          <w:rFonts w:ascii="Arial" w:hAnsi="Arial" w:cs="Arial"/>
          <w:shd w:fill="FFFFFF" w:val="clear"/>
        </w:rPr>
      </w:pPr>
      <w:r>
        <w:rPr>
          <w:rFonts w:cs="Arial" w:ascii="Arial" w:hAnsi="Arial"/>
          <w:b/>
          <w:shd w:fill="FFFFFF" w:val="clear"/>
        </w:rPr>
        <w:t>ATENÇÃO NA REGRA DE FECHAMENTO DO LOTE</w:t>
      </w:r>
      <w:r>
        <w:rPr>
          <w:rFonts w:cs="Arial" w:ascii="Arial" w:hAnsi="Arial"/>
          <w:shd w:fill="FFFFFF" w:val="clear"/>
        </w:rPr>
        <w:t xml:space="preserve">: Para lote, com lance vencedor o encerramento será imediato, após o famoso “ dou-lhe uma, dou-lhe duas, dou-lhe três”(que é o tempo  dado aos participantes para seguirem e retomarem a disputa de forma idônea. </w:t>
      </w:r>
    </w:p>
    <w:p>
      <w:pPr>
        <w:pStyle w:val="ListParagraph"/>
        <w:ind w:left="0"/>
        <w:jc w:val="both"/>
        <w:rPr>
          <w:rStyle w:val="Strong"/>
          <w:rFonts w:ascii="Arial" w:hAnsi="Arial" w:cs="Arial"/>
        </w:rPr>
      </w:pPr>
      <w:r>
        <w:rPr>
          <w:rStyle w:val="Strong"/>
          <w:rFonts w:cs="Arial" w:ascii="Arial" w:hAnsi="Arial"/>
        </w:rPr>
        <w:t>ATENÇÃO QUANTO A PAGAMENTO DA COMISSÃO: N</w:t>
      </w:r>
      <w:r>
        <w:rPr>
          <w:rFonts w:cs="Arial" w:ascii="Arial" w:hAnsi="Arial"/>
          <w:b/>
          <w:color w:val="000000"/>
        </w:rPr>
        <w:t>o</w:t>
      </w:r>
      <w:r>
        <w:rPr>
          <w:rFonts w:cs="Arial" w:ascii="Arial" w:hAnsi="Arial"/>
          <w:color w:val="000000"/>
        </w:rPr>
        <w:t xml:space="preserve"> caso de acordo, se requerido após o leilão com recebimento de lance, o leiloeiro será remunerado com o correspondente a 5% no caso de bens imóveis e ou 10% no caso de bens móveis, sobre o valor da arrematação, a ser pago pelo Executado na data do acordo, e no caso de Adjudicação, a remuneração do leiloeiro será paga pelo adjudicante e depositada antes da assinatura da respectiva carta. Na hipótese de cancelamento do leilão por motivo de acordo após a publicação do edital e antes do leilão, ficam arbitrados os honorários de 2%, sobre o valor da avaliação do bem, a ser custeado pelo Executado, para ressarcimento dos serviços prestados e das despesas que antecederam o leilão.</w:t>
      </w:r>
    </w:p>
    <w:p>
      <w:pPr>
        <w:pStyle w:val="ListParagraph"/>
        <w:ind w:left="0"/>
        <w:jc w:val="both"/>
        <w:rPr>
          <w:rStyle w:val="Strong"/>
          <w:rFonts w:ascii="Arial" w:hAnsi="Arial" w:cs="Arial"/>
        </w:rPr>
      </w:pPr>
      <w:r>
        <w:rPr>
          <w:rFonts w:cs="Arial" w:ascii="Arial" w:hAnsi="Arial"/>
        </w:rPr>
      </w:r>
    </w:p>
    <w:p>
      <w:pPr>
        <w:pStyle w:val="ListParagraph"/>
        <w:ind w:left="0"/>
        <w:jc w:val="both"/>
        <w:rPr>
          <w:rFonts w:ascii="Arial" w:hAnsi="Arial" w:cs="Arial"/>
        </w:rPr>
      </w:pPr>
      <w:r>
        <w:rPr>
          <w:rFonts w:cs="Arial" w:ascii="Arial" w:hAnsi="Arial"/>
          <w:b/>
        </w:rPr>
        <w:t xml:space="preserve">SOBRE A PARTICIPAÇÃO DO PRETENDENTE: </w:t>
      </w:r>
      <w:r>
        <w:rPr>
          <w:rFonts w:cs="Arial" w:ascii="Arial" w:hAnsi="Arial"/>
        </w:rPr>
        <w:t xml:space="preserve">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w:t>
      </w:r>
    </w:p>
    <w:p>
      <w:pPr>
        <w:pStyle w:val="ListParagraph"/>
        <w:ind w:left="0"/>
        <w:jc w:val="both"/>
        <w:rPr>
          <w:rFonts w:ascii="Arial" w:hAnsi="Arial" w:eastAsia="SimSun" w:cs="Arial"/>
          <w:b/>
          <w:bCs/>
          <w:shd w:fill="FEFFFE" w:val="clear"/>
          <w:lang w:eastAsia="zh-CN" w:bidi="hi-IN"/>
        </w:rPr>
      </w:pPr>
      <w:r>
        <w:rPr>
          <w:rFonts w:eastAsia="SimSun" w:cs="Arial" w:ascii="Arial" w:hAnsi="Arial"/>
          <w:b/>
          <w:bCs/>
          <w:shd w:fill="FEFFFE" w:val="clear"/>
          <w:lang w:eastAsia="zh-CN" w:bidi="hi-IN"/>
        </w:rPr>
      </w:r>
    </w:p>
    <w:p>
      <w:pPr>
        <w:pStyle w:val="ListParagraph"/>
        <w:ind w:left="0"/>
        <w:jc w:val="both"/>
        <w:rPr>
          <w:rStyle w:val="Strong"/>
          <w:rFonts w:ascii="Arial" w:hAnsi="Arial" w:cs="Arial"/>
        </w:rPr>
      </w:pPr>
      <w:r>
        <w:rPr>
          <w:rFonts w:cs="Arial" w:ascii="Arial" w:hAnsi="Arial"/>
          <w:b/>
          <w:color w:val="000000"/>
        </w:rPr>
        <w:t>CADASTRAMENTO ANTECIPADO:</w:t>
      </w:r>
      <w:r>
        <w:rPr>
          <w:rFonts w:cs="Arial" w:ascii="Arial" w:hAnsi="Arial"/>
          <w:color w:val="000000"/>
        </w:rPr>
        <w:t xml:space="preserve"> Para participar do leilão eletrônico, o interessado deverá cadastrar no site  </w:t>
      </w:r>
      <w:hyperlink r:id="rId3">
        <w:r>
          <w:rPr>
            <w:rStyle w:val="Hyperlink"/>
            <w:rFonts w:cs="Arial" w:ascii="Arial" w:hAnsi="Arial"/>
          </w:rPr>
          <w:t>www.arnaldoleiloes.com.br</w:t>
        </w:r>
      </w:hyperlink>
      <w:r>
        <w:rPr>
          <w:rFonts w:cs="Arial" w:ascii="Arial" w:hAnsi="Arial"/>
        </w:rPr>
        <w:t xml:space="preserve"> </w:t>
      </w:r>
      <w:r>
        <w:rPr>
          <w:rFonts w:cs="Arial" w:ascii="Arial" w:hAnsi="Arial"/>
          <w:color w:val="000000"/>
        </w:rPr>
        <w:t>e se habilitar acessando a página do lote com antecedência mínima de 7dias úteis antes do início do leilão, sendo que somente após a análise dos documentos obrigatórios e liberação do login poderá ofertar lances pela internet.</w:t>
      </w:r>
    </w:p>
    <w:p>
      <w:pPr>
        <w:pStyle w:val="ListParagraph"/>
        <w:ind w:left="0"/>
        <w:jc w:val="both"/>
        <w:rPr>
          <w:rStyle w:val="Strong"/>
          <w:rFonts w:ascii="Arial" w:hAnsi="Arial" w:cs="Arial"/>
        </w:rPr>
      </w:pPr>
      <w:r>
        <w:rPr>
          <w:rFonts w:cs="Arial" w:ascii="Arial" w:hAnsi="Arial"/>
        </w:rPr>
      </w:r>
    </w:p>
    <w:p>
      <w:pPr>
        <w:pStyle w:val="ListParagraph"/>
        <w:ind w:left="0"/>
        <w:jc w:val="both"/>
        <w:rPr>
          <w:rFonts w:ascii="Arial" w:hAnsi="Arial" w:cs="Arial"/>
        </w:rPr>
      </w:pPr>
      <w:r>
        <w:rPr>
          <w:rFonts w:cs="Arial" w:ascii="Arial" w:hAnsi="Arial"/>
          <w:b/>
        </w:rPr>
        <w:t>ATENÇÃO AOS LANCES -</w:t>
      </w:r>
      <w:r>
        <w:rPr>
          <w:rFonts w:cs="Arial" w:ascii="Arial" w:hAnsi="Arial"/>
        </w:rPr>
        <w:t xml:space="preserve"> Os lances deverão ser ofertados pela rede Internet, através do portal </w:t>
      </w:r>
      <w:hyperlink r:id="rId4">
        <w:r>
          <w:rPr>
            <w:rStyle w:val="Hyperlink"/>
            <w:rFonts w:cs="Arial" w:ascii="Arial" w:hAnsi="Arial"/>
          </w:rPr>
          <w:t>www.arnaldoleiloes.com.br</w:t>
        </w:r>
      </w:hyperlink>
      <w:r>
        <w:rPr>
          <w:rFonts w:cs="Arial" w:ascii="Arial" w:hAnsi="Arial"/>
        </w:rPr>
        <w:t xml:space="preserve">, mediante cadastro, responsabilizando-se o participante pela utilização da senha de acesso que receber, não serão aceitos lances ou propostas enviadas por e-mail. </w:t>
      </w:r>
    </w:p>
    <w:p>
      <w:pPr>
        <w:pStyle w:val="ListParagraph"/>
        <w:ind w:left="0"/>
        <w:jc w:val="both"/>
        <w:rPr>
          <w:rFonts w:ascii="Arial" w:hAnsi="Arial" w:cs="Arial"/>
        </w:rPr>
      </w:pPr>
      <w:r>
        <w:rPr>
          <w:rFonts w:cs="Arial" w:ascii="Arial" w:hAnsi="Arial"/>
        </w:rPr>
      </w:r>
    </w:p>
    <w:p>
      <w:pPr>
        <w:pStyle w:val="ListParagraph"/>
        <w:ind w:left="0"/>
        <w:jc w:val="both"/>
        <w:rPr>
          <w:rFonts w:ascii="Arial" w:hAnsi="Arial" w:cs="Arial"/>
          <w:b/>
        </w:rPr>
      </w:pPr>
      <w:r>
        <w:rPr>
          <w:rFonts w:cs="Arial" w:ascii="Arial" w:hAnsi="Arial"/>
          <w:b/>
        </w:rPr>
        <w:t xml:space="preserve">LANCE SUBSEQUENTE: </w:t>
      </w:r>
      <w:r>
        <w:rPr>
          <w:rFonts w:cs="Arial" w:ascii="Arial" w:hAnsi="Arial"/>
        </w:rPr>
        <w:t>Na hipótese de inadimplemento da arrematação os Leiloeiros ficam autorizados a aproveitar o lance subsequente do licitante que mantiver a proposta.</w:t>
      </w:r>
      <w:r>
        <w:rPr>
          <w:rFonts w:cs="Arial" w:ascii="Arial" w:hAnsi="Arial"/>
          <w:b/>
        </w:rPr>
        <w:t xml:space="preserve"> </w:t>
      </w:r>
    </w:p>
    <w:p>
      <w:pPr>
        <w:pStyle w:val="ListParagraph"/>
        <w:ind w:left="0"/>
        <w:jc w:val="both"/>
        <w:rPr>
          <w:rFonts w:ascii="Arial" w:hAnsi="Arial" w:cs="Arial"/>
          <w:b/>
        </w:rPr>
      </w:pPr>
      <w:r>
        <w:rPr>
          <w:rFonts w:cs="Arial" w:ascii="Arial" w:hAnsi="Arial"/>
          <w:b/>
        </w:rPr>
      </w:r>
    </w:p>
    <w:p>
      <w:pPr>
        <w:pStyle w:val="ListParagraph"/>
        <w:ind w:left="0"/>
        <w:jc w:val="both"/>
        <w:rPr>
          <w:rFonts w:ascii="Arial" w:hAnsi="Arial" w:cs="Arial"/>
        </w:rPr>
      </w:pPr>
      <w:r>
        <w:rPr>
          <w:rFonts w:cs="Arial" w:ascii="Arial" w:hAnsi="Arial"/>
          <w:b/>
        </w:rPr>
        <w:t>BENS NÃO ARREMATADOS:</w:t>
      </w:r>
      <w:r>
        <w:rPr>
          <w:rFonts w:cs="Arial" w:ascii="Arial" w:hAnsi="Arial"/>
        </w:rPr>
        <w:t xml:space="preserve"> Os bens que não receberem ofertas no primeiro leilão, ficarão disponíveis para repasse e recebimento de lances até o fechamento do lote no segundo leilão. </w:t>
      </w:r>
    </w:p>
    <w:p>
      <w:pPr>
        <w:pStyle w:val="Normal"/>
        <w:pBdr>
          <w:bottom w:val="single" w:sz="4" w:space="1" w:color="000000"/>
        </w:pBdr>
        <w:jc w:val="both"/>
        <w:rPr>
          <w:rFonts w:ascii="Arial" w:hAnsi="Arial" w:cs="Arial"/>
        </w:rPr>
      </w:pPr>
      <w:r>
        <w:rPr>
          <w:rFonts w:cs="Arial" w:ascii="Arial" w:hAnsi="Arial"/>
          <w:b/>
          <w:bCs/>
        </w:rPr>
        <w:t>ARREMATANTE FIQUE ATENTO:</w:t>
      </w:r>
      <w:r>
        <w:rPr>
          <w:rFonts w:cs="Arial" w:ascii="Arial" w:hAnsi="Arial"/>
        </w:rPr>
        <w:t xml:space="preserve"> Caso haja a desistência da arrematação fora das hipóteses legalmente previstas, inclusive por manejo de recursos ou demora de decursos de prazos, o</w:t>
      </w:r>
      <w:r>
        <w:rPr>
          <w:rFonts w:cs="Arial" w:ascii="Arial" w:hAnsi="Arial"/>
          <w:b/>
        </w:rPr>
        <w:t xml:space="preserve"> Arrematante poderá ser multado</w:t>
      </w:r>
      <w:r>
        <w:rPr>
          <w:rFonts w:cs="Arial" w:ascii="Arial" w:hAnsi="Arial"/>
        </w:rPr>
        <w:t xml:space="preserve">, nos termos da lei, </w:t>
      </w:r>
      <w:r>
        <w:rPr>
          <w:rFonts w:cs="Arial" w:ascii="Arial" w:hAnsi="Arial"/>
          <w:highlight w:val="yellow"/>
        </w:rPr>
        <w:t>sem prejuízo do pagamento da comissão do leiloeiro.</w:t>
      </w:r>
      <w:r>
        <w:rPr>
          <w:rFonts w:cs="Arial" w:ascii="Arial" w:hAnsi="Arial"/>
        </w:rPr>
        <w:t xml:space="preserve"> </w:t>
      </w:r>
    </w:p>
    <w:p>
      <w:pPr>
        <w:pStyle w:val="Normal"/>
        <w:spacing w:before="0" w:after="0"/>
        <w:jc w:val="both"/>
        <w:rPr>
          <w:rFonts w:ascii="Arial" w:hAnsi="Arial" w:eastAsia="SimSun" w:cs="Arial"/>
          <w:b/>
          <w:bCs/>
          <w:shd w:fill="FEFFFE" w:val="clear"/>
          <w:lang w:eastAsia="zh-CN" w:bidi="hi-IN"/>
        </w:rPr>
      </w:pPr>
      <w:r>
        <w:rPr>
          <w:rFonts w:eastAsia="SimSun" w:cs="Arial" w:ascii="Arial" w:hAnsi="Arial"/>
          <w:b/>
          <w:bCs/>
          <w:shd w:fill="FEFFFE" w:val="clear"/>
          <w:lang w:eastAsia="zh-CN" w:bidi="hi-IN"/>
        </w:rPr>
        <w:t xml:space="preserve">DESCRIÇÃO DO BEM: </w:t>
      </w:r>
    </w:p>
    <w:p>
      <w:pPr>
        <w:pStyle w:val="Normal"/>
        <w:spacing w:before="0" w:after="0"/>
        <w:jc w:val="both"/>
        <w:rPr>
          <w:rFonts w:ascii="Arial" w:hAnsi="Arial" w:eastAsia="SimSun" w:cs="Arial"/>
          <w:b/>
          <w:bCs/>
          <w:shd w:fill="FEFFFE" w:val="clear"/>
          <w:lang w:eastAsia="zh-CN" w:bidi="hi-IN"/>
        </w:rPr>
      </w:pPr>
      <w:r>
        <w:rPr>
          <w:rFonts w:eastAsia="SimSun" w:cs="Arial" w:ascii="Arial" w:hAnsi="Arial"/>
          <w:b/>
          <w:bCs/>
          <w:shd w:fill="FEFFFE" w:val="clear"/>
          <w:lang w:eastAsia="zh-CN" w:bidi="hi-IN"/>
        </w:rPr>
      </w:r>
    </w:p>
    <w:p>
      <w:pPr>
        <w:pStyle w:val="NoSpacing"/>
        <w:spacing w:lineRule="auto" w:line="276"/>
        <w:jc w:val="both"/>
        <w:rPr>
          <w:rFonts w:ascii="Arial" w:hAnsi="Arial" w:cs="Arial"/>
          <w:shd w:fill="FEFFFE" w:val="clear"/>
          <w:lang w:eastAsia="zh-CN" w:bidi="hi-IN"/>
        </w:rPr>
      </w:pPr>
      <w:r>
        <w:rPr>
          <w:rFonts w:cs="Arial" w:ascii="Arial" w:hAnsi="Arial"/>
          <w:shd w:fill="FEFFFE" w:val="clear"/>
          <w:lang w:eastAsia="zh-CN" w:bidi="hi-IN"/>
        </w:rPr>
        <w:t xml:space="preserve">01 (um) imóvel, de matrícula número 101.699, livro n° 2, registrado no 1º Ofício do Registro de Imóveis de Belo Horizonte-MG, constituído pelo apartamento 1402, do Edifício Santorini, à Avenida Álvares Cabral, n° 1.162, com direito às vagas de garagem nos 29 e 30, e seu terreno fração ideal de 0,01993, dos lotes 04 e 05, do quarteirão 05, da 9ª Seção Urbana. </w:t>
      </w:r>
    </w:p>
    <w:p>
      <w:pPr>
        <w:pStyle w:val="NoSpacing"/>
        <w:spacing w:lineRule="auto" w:line="276"/>
        <w:jc w:val="both"/>
        <w:rPr>
          <w:rFonts w:ascii="Arial" w:hAnsi="Arial" w:cs="Arial"/>
          <w:shd w:fill="FEFFFE" w:val="clear"/>
          <w:lang w:eastAsia="zh-CN" w:bidi="hi-IN"/>
        </w:rPr>
      </w:pPr>
      <w:r>
        <w:rPr>
          <w:rFonts w:cs="Arial" w:ascii="Arial" w:hAnsi="Arial"/>
          <w:shd w:fill="FEFFFE" w:val="clear"/>
          <w:lang w:eastAsia="zh-CN" w:bidi="hi-IN"/>
        </w:rPr>
        <w:t xml:space="preserve">Trata-se de um apartamento residencial com uma sala com piso em granito, uma cozinha conjugada com área de serviço com piso e bancadas em granito, uma área para tanque com piso em cerâmica, corredor de acesso aos quartos e ao banheiro social com piso laminado, banheiro social com piso e bancada em granito, três quartos com piso laminado, um deles com suíte com piso e bancada em granito. </w:t>
      </w:r>
    </w:p>
    <w:p>
      <w:pPr>
        <w:pStyle w:val="NoSpacing"/>
        <w:spacing w:lineRule="auto" w:line="276"/>
        <w:jc w:val="both"/>
        <w:rPr>
          <w:rFonts w:ascii="Arial" w:hAnsi="Arial" w:cs="Arial"/>
          <w:shd w:fill="FEFFFE" w:val="clear"/>
          <w:lang w:eastAsia="zh-CN" w:bidi="hi-IN"/>
        </w:rPr>
      </w:pPr>
      <w:r>
        <w:rPr>
          <w:rFonts w:cs="Arial" w:ascii="Arial" w:hAnsi="Arial"/>
          <w:shd w:fill="FEFFFE" w:val="clear"/>
          <w:lang w:eastAsia="zh-CN" w:bidi="hi-IN"/>
        </w:rPr>
        <w:t xml:space="preserve">A área do imóvel não consta da matrícula de ID b50e1a1, mas, segundo a ocupante, o apartamento possui cerca de 85m². O imóvel apresenta um acabamento de padrão médio, em bom estado de conservação. </w:t>
      </w:r>
    </w:p>
    <w:p>
      <w:pPr>
        <w:pStyle w:val="NoSpacing"/>
        <w:spacing w:lineRule="auto" w:line="276"/>
        <w:jc w:val="both"/>
        <w:rPr>
          <w:rFonts w:ascii="Arial" w:hAnsi="Arial" w:cs="Arial"/>
          <w:shd w:fill="FEFFFE" w:val="clear"/>
          <w:lang w:eastAsia="zh-CN" w:bidi="hi-IN"/>
        </w:rPr>
      </w:pPr>
      <w:r>
        <w:rPr>
          <w:rFonts w:cs="Arial" w:ascii="Arial" w:hAnsi="Arial"/>
          <w:shd w:fill="FEFFFE" w:val="clear"/>
          <w:lang w:eastAsia="zh-CN" w:bidi="hi-IN"/>
        </w:rPr>
      </w:r>
    </w:p>
    <w:p>
      <w:pPr>
        <w:pStyle w:val="NoSpacing"/>
        <w:spacing w:lineRule="auto" w:line="276"/>
        <w:jc w:val="both"/>
        <w:rPr>
          <w:rFonts w:ascii="Arial" w:hAnsi="Arial" w:cs="Arial"/>
          <w:shd w:fill="FEFFFE" w:val="clear"/>
          <w:lang w:eastAsia="zh-CN" w:bidi="hi-IN"/>
        </w:rPr>
      </w:pPr>
      <w:r>
        <w:rPr>
          <w:rFonts w:eastAsia="SimSun" w:cs="Arial" w:ascii="Arial" w:hAnsi="Arial"/>
          <w:b/>
          <w:bCs/>
          <w:shd w:fill="FEFFFE" w:val="clear"/>
          <w:lang w:eastAsia="zh-CN" w:bidi="hi-IN"/>
        </w:rPr>
        <w:t xml:space="preserve">TOTAL DESTA AVALIAÇÃO: </w:t>
      </w:r>
      <w:r>
        <w:rPr>
          <w:rFonts w:cs="Arial" w:ascii="Arial" w:hAnsi="Arial"/>
          <w:b/>
          <w:shd w:fill="FEFFFE" w:val="clear"/>
          <w:lang w:eastAsia="zh-CN" w:bidi="hi-IN"/>
        </w:rPr>
        <w:t>R$850.000,00 (oitocentos e cinquenta mil reais).</w:t>
      </w:r>
      <w:r>
        <w:rPr>
          <w:rFonts w:cs="Arial" w:ascii="Arial" w:hAnsi="Arial"/>
          <w:shd w:fill="FEFFFE" w:val="clear"/>
          <w:lang w:eastAsia="zh-CN" w:bidi="hi-IN"/>
        </w:rPr>
        <w:t xml:space="preserve"> </w:t>
      </w:r>
    </w:p>
    <w:p>
      <w:pPr>
        <w:pStyle w:val="NormalWeb"/>
        <w:spacing w:lineRule="auto" w:line="276" w:before="280" w:after="280"/>
        <w:jc w:val="both"/>
        <w:rPr>
          <w:rFonts w:ascii="Arial" w:hAnsi="Arial" w:eastAsia="SimSun" w:cs="Arial"/>
          <w:b/>
          <w:kern w:val="2"/>
          <w:sz w:val="22"/>
          <w:szCs w:val="22"/>
          <w:shd w:fill="FEFFFE" w:val="clear"/>
          <w:lang w:bidi="hi-IN"/>
        </w:rPr>
      </w:pPr>
      <w:r>
        <w:rPr>
          <w:rFonts w:eastAsia="SimSun" w:cs="Arial" w:ascii="Arial" w:hAnsi="Arial"/>
          <w:b/>
          <w:kern w:val="2"/>
          <w:sz w:val="22"/>
          <w:szCs w:val="22"/>
          <w:shd w:fill="FEFFFE" w:val="clear"/>
          <w:lang w:bidi="hi-IN"/>
        </w:rPr>
        <w:t>LOCALIZAÇÃO:</w:t>
      </w:r>
      <w:r>
        <w:rPr>
          <w:rFonts w:eastAsia="SimSun" w:cs="Arial" w:ascii="Arial" w:hAnsi="Arial"/>
          <w:b w:val="false"/>
          <w:bCs w:val="false"/>
          <w:kern w:val="2"/>
          <w:sz w:val="22"/>
          <w:szCs w:val="22"/>
          <w:shd w:fill="FEFFFE" w:val="clear"/>
          <w:lang w:bidi="hi-IN"/>
        </w:rPr>
        <w:t xml:space="preserve"> </w:t>
      </w:r>
      <w:r>
        <w:rPr>
          <w:rFonts w:eastAsia="SimSun" w:cs="Arial" w:ascii="Arial" w:hAnsi="Arial"/>
          <w:b w:val="false"/>
          <w:bCs w:val="false"/>
          <w:kern w:val="2"/>
          <w:sz w:val="22"/>
          <w:szCs w:val="22"/>
          <w:shd w:fill="FEFFFE" w:val="clear"/>
          <w:lang w:eastAsia="zh-CN" w:bidi="hi-IN"/>
        </w:rPr>
        <w:t>Av. Álvares Cabral, n° 1.162- AP  1402- Edifício Santorini.BH/MG.</w:t>
      </w:r>
    </w:p>
    <w:p>
      <w:pPr>
        <w:pStyle w:val="NormalWeb"/>
        <w:spacing w:lineRule="auto" w:line="276" w:before="280" w:after="280"/>
        <w:jc w:val="both"/>
        <w:rPr>
          <w:rFonts w:ascii="Arial" w:hAnsi="Arial" w:eastAsia="SimSun" w:cs="Arial"/>
          <w:b/>
          <w:kern w:val="2"/>
          <w:sz w:val="22"/>
          <w:szCs w:val="22"/>
          <w:shd w:fill="FEFFFE" w:val="clear"/>
          <w:lang w:bidi="hi-IN"/>
        </w:rPr>
      </w:pPr>
      <w:r>
        <w:rPr>
          <w:rFonts w:eastAsia="SimSun" w:cs="Arial" w:ascii="Arial" w:hAnsi="Arial"/>
          <w:b/>
          <w:kern w:val="2"/>
          <w:sz w:val="22"/>
          <w:szCs w:val="22"/>
          <w:shd w:fill="FEFFFE" w:val="clear"/>
          <w:lang w:bidi="hi-IN"/>
        </w:rPr>
      </w:r>
    </w:p>
    <w:p>
      <w:pPr>
        <w:pStyle w:val="NormalWeb"/>
        <w:spacing w:lineRule="auto" w:line="276" w:before="280" w:after="280"/>
        <w:jc w:val="both"/>
        <w:rPr>
          <w:rFonts w:ascii="Arial" w:hAnsi="Arial" w:eastAsia="SimSun" w:cs="Arial"/>
          <w:b/>
          <w:kern w:val="2"/>
          <w:sz w:val="22"/>
          <w:szCs w:val="22"/>
          <w:shd w:fill="FEFFFE" w:val="clear"/>
          <w:lang w:bidi="hi-IN"/>
        </w:rPr>
      </w:pPr>
      <w:r>
        <w:rPr>
          <w:rFonts w:eastAsia="SimSun" w:cs="Arial" w:ascii="Arial" w:hAnsi="Arial"/>
          <w:b/>
          <w:kern w:val="2"/>
          <w:sz w:val="22"/>
          <w:szCs w:val="22"/>
          <w:shd w:fill="FEFFFE" w:val="clear"/>
          <w:lang w:bidi="hi-IN"/>
        </w:rPr>
      </w:r>
    </w:p>
    <w:p>
      <w:pPr>
        <w:pStyle w:val="NormalWeb"/>
        <w:spacing w:lineRule="auto" w:line="276" w:before="280" w:after="280"/>
        <w:jc w:val="both"/>
        <w:rPr>
          <w:rFonts w:ascii="Arial" w:hAnsi="Arial" w:eastAsia="SimSun" w:cs="Arial"/>
          <w:b/>
          <w:kern w:val="2"/>
          <w:sz w:val="22"/>
          <w:szCs w:val="22"/>
          <w:shd w:fill="FEFFFE" w:val="clear"/>
          <w:lang w:bidi="hi-IN"/>
        </w:rPr>
      </w:pPr>
      <w:bookmarkStart w:id="1" w:name="_GoBack"/>
      <w:bookmarkEnd w:id="1"/>
      <w:r>
        <w:rPr>
          <w:rFonts w:eastAsia="SimSun" w:cs="Arial" w:ascii="Arial" w:hAnsi="Arial"/>
          <w:b/>
          <w:kern w:val="2"/>
          <w:sz w:val="22"/>
          <w:szCs w:val="22"/>
          <w:shd w:fill="FEFFFE" w:val="clear"/>
          <w:lang w:bidi="hi-IN"/>
        </w:rPr>
        <w:t>ÔNUS:</w:t>
      </w:r>
    </w:p>
    <w:p>
      <w:pPr>
        <w:pStyle w:val="NoSpacing"/>
        <w:spacing w:lineRule="auto" w:line="276"/>
        <w:jc w:val="both"/>
        <w:rPr>
          <w:rFonts w:ascii="Arial" w:hAnsi="Arial" w:cs="Arial"/>
          <w:b/>
          <w:shd w:fill="FEFFFE" w:val="clear"/>
          <w:lang w:bidi="hi-IN"/>
        </w:rPr>
      </w:pPr>
      <w:r>
        <w:rPr>
          <w:rFonts w:cs="Arial" w:ascii="Arial" w:hAnsi="Arial"/>
          <w:b/>
          <w:highlight w:val="yellow"/>
          <w:shd w:fill="FEFFFE" w:val="clear"/>
          <w:lang w:bidi="hi-IN"/>
        </w:rPr>
        <w:t>Faz-se constar que o imóvel não se encontra registrado em nome do executado MOACIR FERREIRA DA SILVA, devendo o arrematante proceder à regularização dos documentos, arcando com as respectivas despesas</w:t>
      </w:r>
      <w:r>
        <w:rPr>
          <w:rFonts w:cs="Arial" w:ascii="Arial" w:hAnsi="Arial"/>
          <w:b/>
          <w:shd w:fill="FEFFFE" w:val="clear"/>
          <w:lang w:bidi="hi-IN"/>
        </w:rPr>
        <w:t>.</w:t>
      </w:r>
    </w:p>
    <w:p>
      <w:pPr>
        <w:pStyle w:val="NormalWeb"/>
        <w:spacing w:lineRule="auto" w:line="276" w:before="280" w:after="280"/>
        <w:jc w:val="both"/>
        <w:rPr>
          <w:rFonts w:ascii="Arial" w:hAnsi="Arial" w:eastAsia="SimSun" w:cs="Arial"/>
          <w:b/>
          <w:kern w:val="2"/>
          <w:sz w:val="22"/>
          <w:szCs w:val="22"/>
          <w:shd w:fill="FEFFFE" w:val="clear"/>
          <w:lang w:bidi="hi-IN"/>
        </w:rPr>
      </w:pPr>
      <w:r>
        <w:rPr>
          <w:rFonts w:eastAsia="SimSun" w:cs="Arial" w:ascii="Arial" w:hAnsi="Arial"/>
          <w:b/>
          <w:kern w:val="2"/>
          <w:sz w:val="22"/>
          <w:szCs w:val="22"/>
          <w:shd w:fill="FEFFFE" w:val="clear"/>
          <w:lang w:bidi="hi-IN"/>
        </w:rPr>
        <w:t xml:space="preserve">R-4- - PROCESSO 1101779.16.2016.8.26.0100 – 5° vara cível da comarca de São Paulo-SP; </w:t>
      </w:r>
    </w:p>
    <w:p>
      <w:pPr>
        <w:pStyle w:val="NormalWeb"/>
        <w:spacing w:lineRule="auto" w:line="276" w:before="280" w:after="280"/>
        <w:jc w:val="both"/>
        <w:rPr>
          <w:rFonts w:ascii="Arial" w:hAnsi="Arial" w:eastAsia="SimSun" w:cs="Arial"/>
          <w:b/>
          <w:kern w:val="2"/>
          <w:sz w:val="22"/>
          <w:szCs w:val="22"/>
          <w:shd w:fill="FEFFFE" w:val="clear"/>
          <w:lang w:bidi="hi-IN"/>
        </w:rPr>
      </w:pPr>
      <w:r>
        <w:rPr/>
        <w:drawing>
          <wp:inline distT="0" distB="0" distL="0" distR="0">
            <wp:extent cx="5400040" cy="1917065"/>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5"/>
                    <a:stretch>
                      <a:fillRect/>
                    </a:stretch>
                  </pic:blipFill>
                  <pic:spPr bwMode="auto">
                    <a:xfrm>
                      <a:off x="0" y="0"/>
                      <a:ext cx="5400040" cy="1917065"/>
                    </a:xfrm>
                    <a:prstGeom prst="rect">
                      <a:avLst/>
                    </a:prstGeom>
                    <a:noFill/>
                  </pic:spPr>
                </pic:pic>
              </a:graphicData>
            </a:graphic>
          </wp:inline>
        </w:drawing>
      </w:r>
    </w:p>
    <w:p>
      <w:pPr>
        <w:pStyle w:val="NormalWeb"/>
        <w:spacing w:lineRule="auto" w:line="276" w:before="280" w:after="280"/>
        <w:jc w:val="both"/>
        <w:rPr>
          <w:rFonts w:ascii="Arial" w:hAnsi="Arial" w:eastAsia="SimSun" w:cs="Arial"/>
          <w:b/>
          <w:kern w:val="2"/>
          <w:sz w:val="22"/>
          <w:szCs w:val="22"/>
          <w:shd w:fill="FEFFFE" w:val="clear"/>
          <w:lang w:bidi="hi-IN"/>
        </w:rPr>
      </w:pPr>
      <w:r>
        <w:rPr>
          <w:rFonts w:eastAsia="SimSun" w:cs="Arial" w:ascii="Arial" w:hAnsi="Arial"/>
          <w:b/>
          <w:kern w:val="2"/>
          <w:sz w:val="22"/>
          <w:szCs w:val="22"/>
          <w:shd w:fill="FEFFFE" w:val="clear"/>
          <w:lang w:bidi="hi-IN"/>
        </w:rPr>
        <w:t>R-5 PROCESSO 5021785-91.2018.8.13.0024 DA 4° VARA CÍVEL DE BH</w:t>
      </w:r>
    </w:p>
    <w:p>
      <w:pPr>
        <w:pStyle w:val="NormalWeb"/>
        <w:spacing w:lineRule="auto" w:line="276" w:before="280" w:after="280"/>
        <w:jc w:val="both"/>
        <w:rPr>
          <w:rFonts w:ascii="Arial" w:hAnsi="Arial" w:eastAsia="SimSun" w:cs="Arial"/>
          <w:b/>
          <w:kern w:val="2"/>
          <w:sz w:val="22"/>
          <w:szCs w:val="22"/>
          <w:shd w:fill="FEFFFE" w:val="clear"/>
          <w:lang w:bidi="hi-IN"/>
        </w:rPr>
      </w:pPr>
      <w:r>
        <w:rPr/>
        <w:drawing>
          <wp:inline distT="0" distB="0" distL="0" distR="0">
            <wp:extent cx="5400040" cy="1945640"/>
            <wp:effectExtent l="0" t="0" r="0" b="0"/>
            <wp:docPr id="2"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
                    <pic:cNvPicPr>
                      <a:picLocks noChangeAspect="1" noChangeArrowheads="1"/>
                    </pic:cNvPicPr>
                  </pic:nvPicPr>
                  <pic:blipFill>
                    <a:blip r:embed="rId6"/>
                    <a:stretch>
                      <a:fillRect/>
                    </a:stretch>
                  </pic:blipFill>
                  <pic:spPr bwMode="auto">
                    <a:xfrm>
                      <a:off x="0" y="0"/>
                      <a:ext cx="5400040" cy="1945640"/>
                    </a:xfrm>
                    <a:prstGeom prst="rect">
                      <a:avLst/>
                    </a:prstGeom>
                    <a:noFill/>
                  </pic:spPr>
                </pic:pic>
              </a:graphicData>
            </a:graphic>
          </wp:inline>
        </w:drawing>
      </w:r>
    </w:p>
    <w:p>
      <w:pPr>
        <w:pStyle w:val="NormalWeb"/>
        <w:spacing w:lineRule="auto" w:line="276" w:before="280" w:after="280"/>
        <w:jc w:val="both"/>
        <w:rPr>
          <w:rFonts w:ascii="Arial" w:hAnsi="Arial" w:eastAsia="SimSun" w:cs="Arial"/>
          <w:b/>
          <w:kern w:val="2"/>
          <w:sz w:val="22"/>
          <w:szCs w:val="22"/>
          <w:shd w:fill="FEFFFE" w:val="clear"/>
          <w:lang w:bidi="hi-IN"/>
        </w:rPr>
      </w:pPr>
      <w:r>
        <w:rPr>
          <w:rFonts w:eastAsia="SimSun" w:cs="Arial" w:ascii="Arial" w:hAnsi="Arial"/>
          <w:b/>
          <w:kern w:val="2"/>
          <w:sz w:val="22"/>
          <w:szCs w:val="22"/>
          <w:shd w:fill="FEFFFE" w:val="clear"/>
          <w:lang w:bidi="hi-IN"/>
        </w:rPr>
      </w:r>
    </w:p>
    <w:p>
      <w:pPr>
        <w:pStyle w:val="NormalWeb"/>
        <w:spacing w:lineRule="auto" w:line="276" w:before="280" w:after="280"/>
        <w:jc w:val="both"/>
        <w:rPr>
          <w:rFonts w:ascii="Arial" w:hAnsi="Arial" w:eastAsia="SimSun" w:cs="Arial"/>
          <w:b/>
          <w:kern w:val="2"/>
          <w:sz w:val="22"/>
          <w:szCs w:val="22"/>
          <w:shd w:fill="FEFFFE" w:val="clear"/>
          <w:lang w:bidi="hi-IN"/>
        </w:rPr>
      </w:pPr>
      <w:r>
        <w:rPr>
          <w:rFonts w:eastAsia="SimSun" w:cs="Arial" w:ascii="Arial" w:hAnsi="Arial"/>
          <w:b/>
          <w:kern w:val="2"/>
          <w:sz w:val="22"/>
          <w:szCs w:val="22"/>
          <w:shd w:fill="FEFFFE" w:val="clear"/>
          <w:lang w:bidi="hi-IN"/>
        </w:rPr>
        <w:t>AV-6 = R-4 PROCESSO 1101779.16.2016.8.26.0100 DA 5° VARA CÍVEL DO FORO CENTRAL DO TRIBUNAL DE JUSTIÇA DE SÃO SÃO PAULO-SP</w:t>
      </w:r>
    </w:p>
    <w:p>
      <w:pPr>
        <w:pStyle w:val="NormalWeb"/>
        <w:spacing w:lineRule="auto" w:line="276" w:before="280" w:after="280"/>
        <w:jc w:val="both"/>
        <w:rPr>
          <w:rFonts w:ascii="Arial" w:hAnsi="Arial" w:eastAsia="SimSun" w:cs="Arial"/>
          <w:b/>
          <w:kern w:val="2"/>
          <w:sz w:val="22"/>
          <w:szCs w:val="22"/>
          <w:shd w:fill="FEFFFE" w:val="clear"/>
          <w:lang w:bidi="hi-IN"/>
        </w:rPr>
      </w:pPr>
      <w:r>
        <w:rPr/>
        <w:drawing>
          <wp:inline distT="0" distB="0" distL="0" distR="0">
            <wp:extent cx="5400040" cy="1410335"/>
            <wp:effectExtent l="0" t="0" r="0" b="0"/>
            <wp:docPr id="3" name="Imagem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
                    <pic:cNvPicPr>
                      <a:picLocks noChangeAspect="1" noChangeArrowheads="1"/>
                    </pic:cNvPicPr>
                  </pic:nvPicPr>
                  <pic:blipFill>
                    <a:blip r:embed="rId7"/>
                    <a:stretch>
                      <a:fillRect/>
                    </a:stretch>
                  </pic:blipFill>
                  <pic:spPr bwMode="auto">
                    <a:xfrm>
                      <a:off x="0" y="0"/>
                      <a:ext cx="5400040" cy="1410335"/>
                    </a:xfrm>
                    <a:prstGeom prst="rect">
                      <a:avLst/>
                    </a:prstGeom>
                    <a:noFill/>
                  </pic:spPr>
                </pic:pic>
              </a:graphicData>
            </a:graphic>
          </wp:inline>
        </w:drawing>
      </w:r>
    </w:p>
    <w:p>
      <w:pPr>
        <w:pStyle w:val="NormalWeb"/>
        <w:spacing w:lineRule="auto" w:line="276" w:before="280" w:after="280"/>
        <w:jc w:val="both"/>
        <w:rPr>
          <w:rFonts w:ascii="Arial" w:hAnsi="Arial" w:eastAsia="SimSun" w:cs="Arial"/>
          <w:b/>
          <w:kern w:val="2"/>
          <w:sz w:val="22"/>
          <w:szCs w:val="22"/>
          <w:shd w:fill="FEFFFE" w:val="clear"/>
          <w:lang w:bidi="hi-IN"/>
        </w:rPr>
      </w:pPr>
      <w:r>
        <w:rPr>
          <w:rFonts w:eastAsia="SimSun" w:cs="Arial" w:ascii="Arial" w:hAnsi="Arial"/>
          <w:b/>
          <w:kern w:val="2"/>
          <w:sz w:val="22"/>
          <w:szCs w:val="22"/>
          <w:shd w:fill="FEFFFE" w:val="clear"/>
          <w:lang w:bidi="hi-IN"/>
        </w:rPr>
        <w:t xml:space="preserve">OBSERVAÇÕES: </w:t>
      </w:r>
    </w:p>
    <w:p>
      <w:pPr>
        <w:pStyle w:val="Normal"/>
        <w:numPr>
          <w:ilvl w:val="0"/>
          <w:numId w:val="3"/>
        </w:numPr>
        <w:tabs>
          <w:tab w:val="clear" w:pos="708"/>
          <w:tab w:val="left" w:pos="142" w:leader="none"/>
          <w:tab w:val="left" w:pos="284" w:leader="none"/>
        </w:tabs>
        <w:spacing w:before="0" w:after="160"/>
        <w:ind w:hanging="0" w:left="0"/>
        <w:jc w:val="both"/>
        <w:rPr>
          <w:rFonts w:ascii="Arial" w:hAnsi="Arial" w:cs="Arial"/>
          <w:kern w:val="2"/>
          <w:lang w:eastAsia="zh-CN" w:bidi="hi-IN"/>
        </w:rPr>
      </w:pPr>
      <w:r>
        <w:rPr>
          <w:rFonts w:cs="Arial" w:ascii="Arial" w:hAnsi="Arial"/>
        </w:rPr>
        <w:t xml:space="preserve">Fixado o preço mínimo da alienação em 30% do valor da avaliação do bem constrito em se tratando de bem móvel e em 50% do valor da avaliação em se tratando de bem imóvel,  conforme preceitua o art. 891 do CPC, e o despacho de id n° 53f45ff de 03/03/2026. </w:t>
      </w:r>
    </w:p>
    <w:p>
      <w:pPr>
        <w:pStyle w:val="ListParagraph"/>
        <w:numPr>
          <w:ilvl w:val="0"/>
          <w:numId w:val="1"/>
        </w:numPr>
        <w:tabs>
          <w:tab w:val="clear" w:pos="708"/>
          <w:tab w:val="left" w:pos="284" w:leader="none"/>
        </w:tabs>
        <w:ind w:hanging="0" w:left="0"/>
        <w:jc w:val="both"/>
        <w:rPr>
          <w:rFonts w:ascii="Arial" w:hAnsi="Arial" w:cs="Arial"/>
          <w:kern w:val="2"/>
          <w:lang w:eastAsia="zh-CN" w:bidi="hi-IN"/>
        </w:rPr>
      </w:pPr>
      <w:r>
        <w:rPr>
          <w:rFonts w:cs="Arial" w:ascii="Arial" w:hAnsi="Arial"/>
        </w:rPr>
        <w:t>A comissão do leiloeiro foi fixada na proporção de 5% (para bens imóveis) e 10% (para bens móveis), sobre o valor da arrematação, da avaliação no caso de remição se requerida após a praça ou leilão, ou da adjudicação, que será paga pelo arrematante, pelo remitente ou pelo adjudicante, respectivamente, conforme determinado no artigo 245, caput e § 5º do Provimento Geral Consolidado do TRT da 3ª Região - 2015 (PRV GCR/GVCR 3/2015).</w:t>
      </w:r>
    </w:p>
    <w:p>
      <w:pPr>
        <w:pStyle w:val="ListParagraph"/>
        <w:tabs>
          <w:tab w:val="clear" w:pos="708"/>
          <w:tab w:val="left" w:pos="284" w:leader="none"/>
        </w:tabs>
        <w:ind w:left="0"/>
        <w:jc w:val="both"/>
        <w:rPr>
          <w:rFonts w:ascii="Arial" w:hAnsi="Arial" w:cs="Arial"/>
          <w:kern w:val="2"/>
          <w:lang w:eastAsia="zh-CN" w:bidi="hi-IN"/>
        </w:rPr>
      </w:pPr>
      <w:r>
        <w:rPr>
          <w:rFonts w:cs="Arial" w:ascii="Arial" w:hAnsi="Arial"/>
          <w:kern w:val="2"/>
          <w:lang w:eastAsia="zh-CN" w:bidi="hi-IN"/>
        </w:rPr>
      </w:r>
    </w:p>
    <w:p>
      <w:pPr>
        <w:pStyle w:val="ListParagraph"/>
        <w:numPr>
          <w:ilvl w:val="0"/>
          <w:numId w:val="1"/>
        </w:numPr>
        <w:tabs>
          <w:tab w:val="clear" w:pos="708"/>
          <w:tab w:val="left" w:pos="284" w:leader="none"/>
        </w:tabs>
        <w:ind w:hanging="0" w:left="0"/>
        <w:jc w:val="both"/>
        <w:rPr>
          <w:rFonts w:ascii="Arial" w:hAnsi="Arial" w:cs="Arial"/>
          <w:kern w:val="2"/>
          <w:lang w:eastAsia="zh-CN" w:bidi="hi-IN"/>
        </w:rPr>
      </w:pPr>
      <w:r>
        <w:rPr>
          <w:rFonts w:eastAsia="SimSun" w:cs="Arial" w:ascii="Arial" w:hAnsi="Arial"/>
          <w:kern w:val="2"/>
          <w:shd w:fill="FEFFFE" w:val="clear"/>
          <w:lang w:eastAsia="zh-CN" w:bidi="hi-IN"/>
        </w:rPr>
        <w:t>O leilão estará a cargo do leiloeiro oficial Arnaldo Emílio Colombarolli, matrícula Jucemg N</w:t>
      </w:r>
      <w:r>
        <w:rPr>
          <w:rFonts w:eastAsia="SimSun" w:cs="Arial" w:ascii="Arial" w:hAnsi="Arial"/>
          <w:kern w:val="2"/>
          <w:lang w:eastAsia="zh-CN" w:bidi="hi-IN"/>
        </w:rPr>
        <w:t>º 813 (</w:t>
      </w:r>
      <w:hyperlink r:id="rId8">
        <w:r>
          <w:rPr>
            <w:rStyle w:val="Hyperlink"/>
            <w:rFonts w:eastAsia="SimSun" w:cs="Arial" w:ascii="Arial" w:hAnsi="Arial"/>
            <w:kern w:val="2"/>
          </w:rPr>
          <w:t>www.arnaldoleiloes.com.br</w:t>
        </w:r>
      </w:hyperlink>
      <w:r>
        <w:rPr>
          <w:rFonts w:eastAsia="SimSun" w:cs="Arial" w:ascii="Arial" w:hAnsi="Arial"/>
          <w:kern w:val="2"/>
          <w:lang w:eastAsia="zh-CN" w:bidi="hi-IN"/>
        </w:rPr>
        <w:t>) e será realizado no local, data e horário acima especificados.</w:t>
      </w:r>
    </w:p>
    <w:p>
      <w:pPr>
        <w:pStyle w:val="ListParagraph"/>
        <w:rPr>
          <w:rFonts w:ascii="Arial" w:hAnsi="Arial" w:cs="Arial"/>
          <w:kern w:val="2"/>
          <w:lang w:eastAsia="zh-CN" w:bidi="hi-IN"/>
        </w:rPr>
      </w:pPr>
      <w:r>
        <w:rPr>
          <w:rFonts w:cs="Arial" w:ascii="Arial" w:hAnsi="Arial"/>
          <w:kern w:val="2"/>
          <w:lang w:eastAsia="zh-CN" w:bidi="hi-IN"/>
        </w:rPr>
      </w:r>
    </w:p>
    <w:p>
      <w:pPr>
        <w:pStyle w:val="ListParagraph"/>
        <w:numPr>
          <w:ilvl w:val="0"/>
          <w:numId w:val="1"/>
        </w:numPr>
        <w:tabs>
          <w:tab w:val="clear" w:pos="708"/>
          <w:tab w:val="left" w:pos="284" w:leader="none"/>
        </w:tabs>
        <w:ind w:hanging="0" w:left="0"/>
        <w:jc w:val="both"/>
        <w:rPr>
          <w:rFonts w:ascii="Arial" w:hAnsi="Arial" w:cs="Arial"/>
          <w:kern w:val="2"/>
          <w:lang w:eastAsia="zh-CN" w:bidi="hi-IN"/>
        </w:rPr>
      </w:pPr>
      <w:r>
        <w:rPr>
          <w:rFonts w:cs="Arial" w:ascii="Arial" w:hAnsi="Arial"/>
          <w:color w:val="000000"/>
        </w:rPr>
        <w:t>Nos termos do CPC/15, ART. 887, o presente edital será publicado no site: </w:t>
      </w:r>
      <w:hyperlink r:id="rId9">
        <w:r>
          <w:rPr>
            <w:rStyle w:val="Hyperlink"/>
            <w:rFonts w:cs="Arial" w:ascii="Arial" w:hAnsi="Arial"/>
          </w:rPr>
          <w:t>www.arnaldoleiloes.com.br</w:t>
        </w:r>
      </w:hyperlink>
      <w:r>
        <w:rPr>
          <w:rFonts w:cs="Arial" w:ascii="Arial" w:hAnsi="Arial"/>
        </w:rPr>
        <w:t xml:space="preserve">, ou seja, </w:t>
      </w:r>
      <w:r>
        <w:rPr>
          <w:rFonts w:cs="Arial" w:ascii="Arial" w:hAnsi="Arial"/>
          <w:color w:val="000000"/>
        </w:rPr>
        <w:t>na rede mundial de computadores.</w:t>
      </w:r>
    </w:p>
    <w:p>
      <w:pPr>
        <w:pStyle w:val="ListParagraph"/>
        <w:tabs>
          <w:tab w:val="clear" w:pos="708"/>
          <w:tab w:val="left" w:pos="284" w:leader="none"/>
        </w:tabs>
        <w:ind w:left="0"/>
        <w:jc w:val="both"/>
        <w:rPr>
          <w:rFonts w:ascii="Arial" w:hAnsi="Arial" w:cs="Arial"/>
          <w:kern w:val="2"/>
          <w:lang w:eastAsia="zh-CN" w:bidi="hi-IN"/>
        </w:rPr>
      </w:pPr>
      <w:r>
        <w:rPr>
          <w:rFonts w:cs="Arial" w:ascii="Arial" w:hAnsi="Arial"/>
          <w:kern w:val="2"/>
          <w:lang w:eastAsia="zh-CN" w:bidi="hi-IN"/>
        </w:rPr>
      </w:r>
    </w:p>
    <w:p>
      <w:pPr>
        <w:pStyle w:val="ListParagraph"/>
        <w:numPr>
          <w:ilvl w:val="0"/>
          <w:numId w:val="1"/>
        </w:numPr>
        <w:tabs>
          <w:tab w:val="clear" w:pos="708"/>
          <w:tab w:val="left" w:pos="284" w:leader="none"/>
        </w:tabs>
        <w:ind w:hanging="0" w:left="0"/>
        <w:jc w:val="both"/>
        <w:rPr>
          <w:rFonts w:ascii="Arial" w:hAnsi="Arial" w:eastAsia="Calibri" w:cs="Arial"/>
          <w:kern w:val="2"/>
          <w:lang w:eastAsia="zh-CN" w:bidi="hi-IN"/>
        </w:rPr>
      </w:pPr>
      <w:r>
        <w:rPr>
          <w:rFonts w:eastAsia="SimSun" w:cs="Arial" w:ascii="Arial" w:hAnsi="Arial"/>
          <w:kern w:val="2"/>
          <w:shd w:fill="FEFFFE" w:val="clear"/>
          <w:lang w:eastAsia="zh-CN" w:bidi="hi-IN"/>
        </w:rPr>
        <w:t>O</w:t>
      </w:r>
      <w:r>
        <w:rPr>
          <w:rFonts w:eastAsia="SimSun" w:cs="Arial" w:ascii="Arial" w:hAnsi="Arial"/>
          <w:kern w:val="2"/>
          <w:shd w:fill="FEFFFE" w:val="clear"/>
          <w:lang w:eastAsia="zh-CN" w:bidi="he-IL"/>
        </w:rPr>
        <w:t xml:space="preserve">s interessados em participar do leilão presencial deverão portar, documento de identificação, sendo pessoa física a cópia da cédula de identidade civil ou CNH (Carteira Nacional de Habilitação), se for pessoa jurídica, seu contrato social e respectiva última alteração, e a cópia da cédula de identidade civil ou CNH do representante legal da sociedade. </w:t>
      </w:r>
    </w:p>
    <w:p>
      <w:pPr>
        <w:pStyle w:val="ListParagraph"/>
        <w:tabs>
          <w:tab w:val="clear" w:pos="708"/>
          <w:tab w:val="left" w:pos="284" w:leader="none"/>
        </w:tabs>
        <w:ind w:left="0"/>
        <w:jc w:val="both"/>
        <w:rPr>
          <w:rFonts w:ascii="Arial" w:hAnsi="Arial" w:eastAsia="Calibri" w:cs="Arial"/>
          <w:kern w:val="2"/>
          <w:lang w:eastAsia="zh-CN" w:bidi="hi-IN"/>
        </w:rPr>
      </w:pPr>
      <w:r>
        <w:rPr>
          <w:rFonts w:eastAsia="Calibri" w:cs="Arial" w:ascii="Arial" w:hAnsi="Arial"/>
          <w:kern w:val="2"/>
          <w:lang w:eastAsia="zh-CN" w:bidi="hi-IN"/>
        </w:rPr>
      </w:r>
    </w:p>
    <w:p>
      <w:pPr>
        <w:pStyle w:val="ListParagraph"/>
        <w:numPr>
          <w:ilvl w:val="0"/>
          <w:numId w:val="1"/>
        </w:numPr>
        <w:tabs>
          <w:tab w:val="clear" w:pos="708"/>
          <w:tab w:val="left" w:pos="284" w:leader="none"/>
        </w:tabs>
        <w:ind w:hanging="0" w:left="0"/>
        <w:jc w:val="both"/>
        <w:rPr>
          <w:rFonts w:ascii="Arial" w:hAnsi="Arial" w:cs="Arial"/>
          <w:lang w:eastAsia="pt-BR"/>
        </w:rPr>
      </w:pPr>
      <w:r>
        <w:rPr>
          <w:rFonts w:cs="Arial" w:ascii="Arial" w:hAnsi="Arial"/>
          <w:kern w:val="2"/>
          <w:lang w:eastAsia="zh-CN" w:bidi="hi-IN"/>
        </w:rPr>
        <w:t>O</w:t>
      </w:r>
      <w:r>
        <w:rPr>
          <w:rFonts w:cs="Arial" w:ascii="Arial" w:hAnsi="Arial"/>
        </w:rPr>
        <w:t xml:space="preserve"> valor da arrematação deverá ser quitado à vista, observado o disposto no art. 888, § 2º/CLT, </w:t>
      </w:r>
      <w:r>
        <w:rPr>
          <w:rFonts w:cs="Arial" w:ascii="Arial" w:hAnsi="Arial"/>
          <w:b/>
        </w:rPr>
        <w:t>mediante depósito à disposição do Juízo da 19° Vara do Trabalho de Belo Horizonte,</w:t>
      </w:r>
      <w:r>
        <w:rPr>
          <w:rFonts w:cs="Arial" w:ascii="Arial" w:hAnsi="Arial"/>
        </w:rPr>
        <w:t xml:space="preserve"> nos termos do art. 245, §1º do Provimento Geral Consolidado/TRT-3ª Região.</w:t>
      </w:r>
      <w:r>
        <w:rPr>
          <w:rFonts w:eastAsia="SimSun" w:cs="Arial" w:ascii="Arial" w:hAnsi="Arial"/>
          <w:kern w:val="2"/>
          <w:shd w:fill="FEFFFE" w:val="clear"/>
          <w:lang w:eastAsia="zh-CN" w:bidi="he-IL"/>
        </w:rPr>
        <w:t xml:space="preserve"> </w:t>
      </w:r>
    </w:p>
    <w:p>
      <w:pPr>
        <w:pStyle w:val="ListParagraph"/>
        <w:tabs>
          <w:tab w:val="clear" w:pos="708"/>
          <w:tab w:val="left" w:pos="284" w:leader="none"/>
        </w:tabs>
        <w:ind w:left="0"/>
        <w:jc w:val="both"/>
        <w:rPr>
          <w:rFonts w:ascii="Arial" w:hAnsi="Arial" w:cs="Arial"/>
          <w:lang w:eastAsia="pt-BR"/>
        </w:rPr>
      </w:pPr>
      <w:r>
        <w:rPr>
          <w:rFonts w:cs="Arial" w:ascii="Arial" w:hAnsi="Arial"/>
          <w:lang w:eastAsia="pt-BR"/>
        </w:rPr>
      </w:r>
    </w:p>
    <w:p>
      <w:pPr>
        <w:pStyle w:val="ListParagraph"/>
        <w:numPr>
          <w:ilvl w:val="0"/>
          <w:numId w:val="1"/>
        </w:numPr>
        <w:tabs>
          <w:tab w:val="clear" w:pos="708"/>
          <w:tab w:val="left" w:pos="284" w:leader="none"/>
        </w:tabs>
        <w:ind w:hanging="0" w:left="0"/>
        <w:jc w:val="both"/>
        <w:rPr>
          <w:rFonts w:ascii="Arial" w:hAnsi="Arial" w:cs="Arial"/>
        </w:rPr>
      </w:pPr>
      <w:r>
        <w:rPr>
          <w:rFonts w:cs="Arial" w:ascii="Arial" w:hAnsi="Arial"/>
        </w:rPr>
        <w:t xml:space="preserve">Não será devida comissão ao leiloeiro na hipótese de desistência de que trata o art. 903/CPC, anulação ou ineficácia da arrematação, ou resultado negativo da hasta pública. </w:t>
      </w:r>
    </w:p>
    <w:p>
      <w:pPr>
        <w:pStyle w:val="ListParagraph"/>
        <w:tabs>
          <w:tab w:val="clear" w:pos="708"/>
          <w:tab w:val="left" w:pos="284" w:leader="none"/>
        </w:tabs>
        <w:ind w:left="0"/>
        <w:jc w:val="both"/>
        <w:rPr>
          <w:rFonts w:ascii="Arial" w:hAnsi="Arial" w:cs="Arial"/>
        </w:rPr>
      </w:pPr>
      <w:r>
        <w:rPr>
          <w:rFonts w:cs="Arial" w:ascii="Arial" w:hAnsi="Arial"/>
        </w:rPr>
      </w:r>
    </w:p>
    <w:p>
      <w:pPr>
        <w:pStyle w:val="ListParagraph"/>
        <w:numPr>
          <w:ilvl w:val="0"/>
          <w:numId w:val="1"/>
        </w:numPr>
        <w:tabs>
          <w:tab w:val="clear" w:pos="708"/>
          <w:tab w:val="left" w:pos="284" w:leader="none"/>
        </w:tabs>
        <w:ind w:hanging="0" w:left="0"/>
        <w:jc w:val="both"/>
        <w:rPr>
          <w:rFonts w:ascii="Arial" w:hAnsi="Arial" w:cs="Arial"/>
        </w:rPr>
      </w:pPr>
      <w:r>
        <w:rPr>
          <w:rFonts w:cs="Arial" w:ascii="Arial" w:hAnsi="Arial"/>
          <w:color w:val="000000"/>
        </w:rPr>
        <w:t xml:space="preserve">No caso de acordo, se requerido após o leilão com recebimento de lance, o leiloeiro será remunerado com o correspondente a 5% no caso de bens imóveis ou 10% no caso de bens móveis, sobre o valor da arrematação, a ser pago pelo Executado na data do acordo, e no caso de Adjudicação, a remuneração do leiloeiro será paga pelo adjudicante e depositada antes da assinatura da respectiva carta. </w:t>
      </w:r>
    </w:p>
    <w:p>
      <w:pPr>
        <w:pStyle w:val="ListParagraph"/>
        <w:tabs>
          <w:tab w:val="clear" w:pos="708"/>
          <w:tab w:val="left" w:pos="284" w:leader="none"/>
        </w:tabs>
        <w:ind w:left="0"/>
        <w:jc w:val="both"/>
        <w:rPr>
          <w:rFonts w:ascii="Arial" w:hAnsi="Arial" w:cs="Arial"/>
        </w:rPr>
      </w:pPr>
      <w:r>
        <w:rPr>
          <w:rFonts w:cs="Arial" w:ascii="Arial" w:hAnsi="Arial"/>
        </w:rPr>
      </w:r>
    </w:p>
    <w:p>
      <w:pPr>
        <w:pStyle w:val="ListParagraph"/>
        <w:numPr>
          <w:ilvl w:val="0"/>
          <w:numId w:val="1"/>
        </w:numPr>
        <w:tabs>
          <w:tab w:val="clear" w:pos="708"/>
          <w:tab w:val="left" w:pos="284" w:leader="none"/>
        </w:tabs>
        <w:ind w:hanging="0" w:left="0"/>
        <w:jc w:val="both"/>
        <w:rPr>
          <w:rFonts w:ascii="Arial" w:hAnsi="Arial" w:cs="Arial"/>
        </w:rPr>
      </w:pPr>
      <w:r>
        <w:rPr>
          <w:rFonts w:cs="Arial" w:ascii="Arial" w:hAnsi="Arial"/>
          <w:color w:val="000000"/>
        </w:rPr>
        <w:t xml:space="preserve">As alienações são feitas em caráter " AD-CORPUS", sendo que as áreas mencionadas nos editais, catálogos e outros veículos de comunicação, são meramente enunciativas. </w:t>
      </w:r>
    </w:p>
    <w:p>
      <w:pPr>
        <w:pStyle w:val="ListParagraph"/>
        <w:tabs>
          <w:tab w:val="clear" w:pos="708"/>
          <w:tab w:val="left" w:pos="284" w:leader="none"/>
        </w:tabs>
        <w:ind w:left="0"/>
        <w:jc w:val="both"/>
        <w:rPr>
          <w:rFonts w:ascii="Arial" w:hAnsi="Arial" w:cs="Arial"/>
        </w:rPr>
      </w:pPr>
      <w:r>
        <w:rPr>
          <w:rFonts w:cs="Arial" w:ascii="Arial" w:hAnsi="Arial"/>
        </w:rPr>
      </w:r>
    </w:p>
    <w:p>
      <w:pPr>
        <w:pStyle w:val="ListParagraph"/>
        <w:numPr>
          <w:ilvl w:val="0"/>
          <w:numId w:val="1"/>
        </w:numPr>
        <w:tabs>
          <w:tab w:val="clear" w:pos="708"/>
          <w:tab w:val="left" w:pos="284" w:leader="none"/>
        </w:tabs>
        <w:ind w:hanging="0" w:left="0"/>
        <w:jc w:val="both"/>
        <w:rPr>
          <w:rFonts w:ascii="Arial" w:hAnsi="Arial" w:cs="Arial"/>
          <w:b/>
        </w:rPr>
      </w:pPr>
      <w:r>
        <w:rPr>
          <w:rFonts w:cs="Arial" w:ascii="Arial" w:hAnsi="Arial"/>
          <w:b/>
          <w:color w:val="000000"/>
        </w:rPr>
        <w:t>Na hipótese de cancelamento do leilão por motivo de acordo após a publicação do edital e antes do leilão, ficam arbitrados os honorários de 2%, sobre o valor da avaliação do bem, a ser custeado pelo Executado, para ressarcimento dos serviços prestados e das despesas que antecederam o leilão.</w:t>
      </w:r>
    </w:p>
    <w:p>
      <w:pPr>
        <w:pStyle w:val="ListParagraph"/>
        <w:tabs>
          <w:tab w:val="clear" w:pos="708"/>
          <w:tab w:val="left" w:pos="284" w:leader="none"/>
        </w:tabs>
        <w:ind w:left="0"/>
        <w:jc w:val="both"/>
        <w:rPr>
          <w:rFonts w:ascii="Arial" w:hAnsi="Arial" w:cs="Arial"/>
          <w:b/>
        </w:rPr>
      </w:pPr>
      <w:r>
        <w:rPr>
          <w:rFonts w:cs="Arial" w:ascii="Arial" w:hAnsi="Arial"/>
          <w:b/>
        </w:rPr>
      </w:r>
    </w:p>
    <w:p>
      <w:pPr>
        <w:pStyle w:val="ListParagraph"/>
        <w:numPr>
          <w:ilvl w:val="0"/>
          <w:numId w:val="1"/>
        </w:numPr>
        <w:tabs>
          <w:tab w:val="clear" w:pos="708"/>
          <w:tab w:val="left" w:pos="284" w:leader="none"/>
        </w:tabs>
        <w:ind w:hanging="0" w:left="0"/>
        <w:jc w:val="both"/>
        <w:rPr>
          <w:rFonts w:ascii="Arial" w:hAnsi="Arial" w:cs="Arial"/>
        </w:rPr>
      </w:pPr>
      <w:r>
        <w:rPr>
          <w:rFonts w:cs="Arial" w:ascii="Arial" w:hAnsi="Arial"/>
        </w:rPr>
        <w:t>O valor da arrematação deverá ser integralmente pago impreterivelmente nas 24 (vinte e quatro) horas úteis subsequente ao leilão, conforme art. 888, §4º da CLT, e o comprovante deverá ser enviado ao Leiloeiro no e-mail arnaldoleiloes@gmail.com, na mesma data</w:t>
      </w:r>
      <w:r>
        <w:rPr>
          <w:rFonts w:cs="Arial" w:ascii="Arial" w:hAnsi="Arial"/>
          <w:b/>
        </w:rPr>
        <w:t xml:space="preserve">. </w:t>
      </w:r>
    </w:p>
    <w:p>
      <w:pPr>
        <w:pStyle w:val="ListParagraph"/>
        <w:tabs>
          <w:tab w:val="clear" w:pos="708"/>
          <w:tab w:val="left" w:pos="284" w:leader="none"/>
        </w:tabs>
        <w:ind w:left="0"/>
        <w:jc w:val="both"/>
        <w:rPr>
          <w:rFonts w:ascii="Arial" w:hAnsi="Arial" w:cs="Arial"/>
        </w:rPr>
      </w:pPr>
      <w:r>
        <w:rPr>
          <w:rFonts w:cs="Arial" w:ascii="Arial" w:hAnsi="Arial"/>
        </w:rPr>
      </w:r>
    </w:p>
    <w:p>
      <w:pPr>
        <w:pStyle w:val="ListParagraph"/>
        <w:numPr>
          <w:ilvl w:val="0"/>
          <w:numId w:val="1"/>
        </w:numPr>
        <w:tabs>
          <w:tab w:val="clear" w:pos="708"/>
          <w:tab w:val="left" w:pos="284" w:leader="none"/>
        </w:tabs>
        <w:ind w:hanging="0" w:left="0"/>
        <w:jc w:val="both"/>
        <w:rPr>
          <w:rFonts w:ascii="Arial" w:hAnsi="Arial" w:cs="Arial"/>
        </w:rPr>
      </w:pPr>
      <w:r>
        <w:rPr>
          <w:rFonts w:cs="Arial" w:ascii="Arial" w:hAnsi="Arial"/>
        </w:rPr>
        <w:t xml:space="preserve">Caso haja a desistência da arrematação fora das hipóteses legalmente previstas, </w:t>
      </w:r>
      <w:r>
        <w:rPr>
          <w:rFonts w:cs="Arial" w:ascii="Arial" w:hAnsi="Arial"/>
          <w:b/>
        </w:rPr>
        <w:t>o Arrematante poderá ser multado</w:t>
      </w:r>
      <w:r>
        <w:rPr>
          <w:rFonts w:cs="Arial" w:ascii="Arial" w:hAnsi="Arial"/>
        </w:rPr>
        <w:t xml:space="preserve">, nos termos da lei, sem prejuízo do pagamento da comissão do leiloeiro. </w:t>
      </w:r>
    </w:p>
    <w:p>
      <w:pPr>
        <w:pStyle w:val="ListParagraph"/>
        <w:tabs>
          <w:tab w:val="clear" w:pos="708"/>
          <w:tab w:val="left" w:pos="284" w:leader="none"/>
        </w:tabs>
        <w:ind w:left="0"/>
        <w:jc w:val="both"/>
        <w:rPr>
          <w:rFonts w:ascii="Arial" w:hAnsi="Arial" w:cs="Arial"/>
        </w:rPr>
      </w:pPr>
      <w:r>
        <w:rPr>
          <w:rFonts w:cs="Arial" w:ascii="Arial" w:hAnsi="Arial"/>
        </w:rPr>
      </w:r>
    </w:p>
    <w:p>
      <w:pPr>
        <w:pStyle w:val="ListParagraph"/>
        <w:numPr>
          <w:ilvl w:val="0"/>
          <w:numId w:val="1"/>
        </w:numPr>
        <w:tabs>
          <w:tab w:val="clear" w:pos="708"/>
          <w:tab w:val="left" w:pos="284" w:leader="none"/>
        </w:tabs>
        <w:ind w:hanging="0" w:left="0"/>
        <w:jc w:val="both"/>
        <w:rPr>
          <w:rFonts w:ascii="Arial" w:hAnsi="Arial" w:cs="Arial"/>
        </w:rPr>
      </w:pPr>
      <w:r>
        <w:rPr>
          <w:rFonts w:cs="Arial" w:ascii="Arial" w:hAnsi="Arial"/>
          <w:color w:val="000000"/>
        </w:rPr>
        <w:t>Após a oferta, o licitante vencedor fica obrigado ao pagamento da arrematação e da comissão do leiloeiro, e não poderá, por qualquer motivo, alegar desistência. Caso tenha identificado algum vício, deverá realizar os pagamentos no prazo estabelecido neste edital, e comprovar nos autos a sua alegação. Após a apreciação e decisão do juiz, os valores poderão ser restituídos. A desistência sem o cumprimento da obrigação será considerada "perturbação" ao leilão.</w:t>
      </w:r>
    </w:p>
    <w:p>
      <w:pPr>
        <w:pStyle w:val="ListParagraph"/>
        <w:tabs>
          <w:tab w:val="clear" w:pos="708"/>
          <w:tab w:val="left" w:pos="284" w:leader="none"/>
        </w:tabs>
        <w:ind w:left="0"/>
        <w:jc w:val="both"/>
        <w:rPr>
          <w:rFonts w:ascii="Arial" w:hAnsi="Arial" w:cs="Arial"/>
        </w:rPr>
      </w:pPr>
      <w:r>
        <w:rPr>
          <w:rFonts w:cs="Arial" w:ascii="Arial" w:hAnsi="Arial"/>
        </w:rPr>
      </w:r>
    </w:p>
    <w:p>
      <w:pPr>
        <w:pStyle w:val="ListParagraph"/>
        <w:numPr>
          <w:ilvl w:val="0"/>
          <w:numId w:val="1"/>
        </w:numPr>
        <w:tabs>
          <w:tab w:val="clear" w:pos="708"/>
          <w:tab w:val="left" w:pos="284" w:leader="none"/>
        </w:tabs>
        <w:ind w:hanging="0" w:left="0"/>
        <w:jc w:val="both"/>
        <w:rPr>
          <w:rFonts w:ascii="Arial" w:hAnsi="Arial" w:cs="Arial"/>
        </w:rPr>
      </w:pPr>
      <w:r>
        <w:rPr>
          <w:rFonts w:cs="Arial" w:ascii="Arial" w:hAnsi="Arial"/>
        </w:rPr>
        <w:t>Não será devolvido o valor da comissão, se, por culpa do Arrematante, a arrematação for anulada, invalidada, resolvida ou considerada ineficaz.</w:t>
      </w:r>
    </w:p>
    <w:p>
      <w:pPr>
        <w:pStyle w:val="ListParagraph"/>
        <w:tabs>
          <w:tab w:val="clear" w:pos="708"/>
          <w:tab w:val="left" w:pos="284" w:leader="none"/>
        </w:tabs>
        <w:ind w:left="0"/>
        <w:jc w:val="both"/>
        <w:rPr>
          <w:rFonts w:ascii="Arial" w:hAnsi="Arial" w:cs="Arial"/>
        </w:rPr>
      </w:pPr>
      <w:r>
        <w:rPr>
          <w:rFonts w:cs="Arial" w:ascii="Arial" w:hAnsi="Arial"/>
        </w:rPr>
      </w:r>
    </w:p>
    <w:p>
      <w:pPr>
        <w:pStyle w:val="ListParagraph"/>
        <w:numPr>
          <w:ilvl w:val="0"/>
          <w:numId w:val="1"/>
        </w:numPr>
        <w:tabs>
          <w:tab w:val="clear" w:pos="708"/>
          <w:tab w:val="left" w:pos="284" w:leader="none"/>
          <w:tab w:val="left" w:pos="851" w:leader="none"/>
        </w:tabs>
        <w:spacing w:before="0" w:after="0"/>
        <w:ind w:hanging="0" w:left="0"/>
        <w:contextualSpacing/>
        <w:jc w:val="both"/>
        <w:rPr>
          <w:rFonts w:ascii="Arial" w:hAnsi="Arial" w:cs="Arial"/>
        </w:rPr>
      </w:pPr>
      <w:r>
        <w:rPr>
          <w:rFonts w:cs="Arial" w:ascii="Arial" w:hAnsi="Arial"/>
        </w:rPr>
        <w:t xml:space="preserve">A arrematação somente será concluída após a homologação pelo MM Juiz da vara competente e julgamento de eventuais recursos. </w:t>
      </w:r>
    </w:p>
    <w:p>
      <w:pPr>
        <w:pStyle w:val="ListParagraph"/>
        <w:tabs>
          <w:tab w:val="clear" w:pos="708"/>
          <w:tab w:val="left" w:pos="284" w:leader="none"/>
          <w:tab w:val="left" w:pos="851" w:leader="none"/>
        </w:tabs>
        <w:spacing w:before="0" w:after="0"/>
        <w:ind w:left="0"/>
        <w:contextualSpacing/>
        <w:jc w:val="both"/>
        <w:rPr>
          <w:rFonts w:ascii="Arial" w:hAnsi="Arial" w:cs="Arial"/>
        </w:rPr>
      </w:pPr>
      <w:r>
        <w:rPr>
          <w:rFonts w:cs="Arial" w:ascii="Arial" w:hAnsi="Arial"/>
        </w:rPr>
      </w:r>
    </w:p>
    <w:p>
      <w:pPr>
        <w:pStyle w:val="ListParagraph"/>
        <w:numPr>
          <w:ilvl w:val="0"/>
          <w:numId w:val="1"/>
        </w:numPr>
        <w:tabs>
          <w:tab w:val="clear" w:pos="708"/>
          <w:tab w:val="left" w:pos="284" w:leader="none"/>
          <w:tab w:val="left" w:pos="851" w:leader="none"/>
        </w:tabs>
        <w:spacing w:before="0" w:after="0"/>
        <w:ind w:hanging="0" w:left="0"/>
        <w:contextualSpacing/>
        <w:jc w:val="both"/>
        <w:rPr>
          <w:rFonts w:ascii="Arial" w:hAnsi="Arial" w:cs="Arial"/>
          <w:highlight w:val="yellow"/>
        </w:rPr>
      </w:pPr>
      <w:r>
        <w:rPr>
          <w:rFonts w:cs="Arial" w:ascii="Arial" w:hAnsi="Arial"/>
          <w:color w:val="000000"/>
        </w:rPr>
        <w:t>Nos termos do art. 358 do Código Penal, quem impedir, perturbar ou fraudar a arrematação judicial, afastar ou procurar afastar concorrentes ou licitantes, por meio de violência, grave ameaça, fraude ou oferecimento de vantagem, estará sujeito à pena de detenção de dois meses a um ano, ou multa, além da pena correspondente à violência. </w:t>
      </w:r>
    </w:p>
    <w:p>
      <w:pPr>
        <w:pStyle w:val="ListParagraph"/>
        <w:rPr>
          <w:rFonts w:ascii="Arial" w:hAnsi="Arial" w:cs="Arial"/>
        </w:rPr>
      </w:pPr>
      <w:r>
        <w:rPr>
          <w:rFonts w:cs="Arial" w:ascii="Arial" w:hAnsi="Arial"/>
        </w:rPr>
      </w:r>
    </w:p>
    <w:p>
      <w:pPr>
        <w:pStyle w:val="ListParagraph"/>
        <w:numPr>
          <w:ilvl w:val="0"/>
          <w:numId w:val="1"/>
        </w:numPr>
        <w:tabs>
          <w:tab w:val="clear" w:pos="708"/>
          <w:tab w:val="left" w:pos="284" w:leader="none"/>
          <w:tab w:val="left" w:pos="851" w:leader="none"/>
        </w:tabs>
        <w:spacing w:before="0" w:after="0"/>
        <w:ind w:hanging="0" w:left="0"/>
        <w:contextualSpacing/>
        <w:jc w:val="both"/>
        <w:rPr>
          <w:rFonts w:ascii="Arial" w:hAnsi="Arial" w:cs="Arial"/>
        </w:rPr>
      </w:pPr>
      <w:r>
        <w:rPr>
          <w:rFonts w:cs="Arial" w:ascii="Arial" w:hAnsi="Arial"/>
        </w:rPr>
        <w:t>Tratando-se de bem </w:t>
      </w:r>
      <w:r>
        <w:rPr>
          <w:rStyle w:val="Strong"/>
          <w:rFonts w:cs="Arial" w:ascii="Arial" w:hAnsi="Arial"/>
        </w:rPr>
        <w:t>imóvel</w:t>
      </w:r>
      <w:r>
        <w:rPr>
          <w:rFonts w:cs="Arial" w:ascii="Arial" w:hAnsi="Arial"/>
        </w:rPr>
        <w:t>, admite-se o pagamento da arrematação na forma do art. 895, § 1º do CPC, com a ressalva de que a proposta deverá conter, em qualquer hipótese, </w:t>
      </w:r>
      <w:r>
        <w:rPr>
          <w:rStyle w:val="Strong"/>
          <w:rFonts w:cs="Arial" w:ascii="Arial" w:hAnsi="Arial"/>
        </w:rPr>
        <w:t>oferta de pagamento de pelo menos vinte e cinco por cento do valor do lance à vista e o restante parcelado em até 12 (doze) meses, garantido por hipoteca do próprio bem</w:t>
      </w:r>
      <w:r>
        <w:rPr>
          <w:rFonts w:cs="Arial" w:ascii="Arial" w:hAnsi="Arial"/>
        </w:rPr>
        <w:t>.</w:t>
      </w:r>
    </w:p>
    <w:p>
      <w:pPr>
        <w:pStyle w:val="ListParagraph"/>
        <w:rPr>
          <w:rStyle w:val="Strong"/>
          <w:rFonts w:ascii="Arial" w:hAnsi="Arial" w:cs="Arial"/>
        </w:rPr>
      </w:pPr>
      <w:r>
        <w:rPr>
          <w:rFonts w:cs="Arial" w:ascii="Arial" w:hAnsi="Arial"/>
        </w:rPr>
      </w:r>
    </w:p>
    <w:p>
      <w:pPr>
        <w:pStyle w:val="ListParagraph"/>
        <w:numPr>
          <w:ilvl w:val="0"/>
          <w:numId w:val="1"/>
        </w:numPr>
        <w:tabs>
          <w:tab w:val="clear" w:pos="708"/>
          <w:tab w:val="left" w:pos="284" w:leader="none"/>
          <w:tab w:val="left" w:pos="851" w:leader="none"/>
        </w:tabs>
        <w:spacing w:before="0" w:after="0"/>
        <w:ind w:hanging="0" w:left="0"/>
        <w:contextualSpacing/>
        <w:jc w:val="both"/>
        <w:rPr>
          <w:rFonts w:ascii="Arial" w:hAnsi="Arial" w:cs="Arial"/>
        </w:rPr>
      </w:pPr>
      <w:r>
        <w:rPr>
          <w:rStyle w:val="Strong"/>
          <w:rFonts w:cs="Arial" w:ascii="Arial" w:hAnsi="Arial"/>
        </w:rPr>
        <w:t>Somente para bens móveis</w:t>
      </w:r>
      <w:r>
        <w:rPr>
          <w:rFonts w:cs="Arial" w:ascii="Arial" w:hAnsi="Arial"/>
        </w:rPr>
        <w:t>: Incumbe ao(s) interessado(s) a verificação de eventuais encargos incidentes sobre o bem, os quais serão de total responsabilidade do arrematante, ainda que não expressos no edital.</w:t>
      </w:r>
    </w:p>
    <w:p>
      <w:pPr>
        <w:pStyle w:val="ListParagraph"/>
        <w:rPr>
          <w:rStyle w:val="Strong"/>
          <w:rFonts w:ascii="Arial" w:hAnsi="Arial" w:cs="Arial"/>
        </w:rPr>
      </w:pPr>
      <w:r>
        <w:rPr>
          <w:rFonts w:cs="Arial" w:ascii="Arial" w:hAnsi="Arial"/>
        </w:rPr>
      </w:r>
    </w:p>
    <w:p>
      <w:pPr>
        <w:pStyle w:val="ListParagraph"/>
        <w:numPr>
          <w:ilvl w:val="0"/>
          <w:numId w:val="1"/>
        </w:numPr>
        <w:tabs>
          <w:tab w:val="clear" w:pos="708"/>
          <w:tab w:val="left" w:pos="284" w:leader="none"/>
          <w:tab w:val="left" w:pos="851" w:leader="none"/>
        </w:tabs>
        <w:spacing w:before="0" w:after="0"/>
        <w:ind w:hanging="0" w:left="0"/>
        <w:contextualSpacing/>
        <w:jc w:val="both"/>
        <w:rPr>
          <w:rFonts w:ascii="Arial" w:hAnsi="Arial" w:eastAsia="SimSun" w:cs="Arial"/>
          <w:b/>
          <w:kern w:val="2"/>
          <w:shd w:fill="FEFFFE" w:val="clear"/>
          <w:lang w:eastAsia="zh-CN" w:bidi="he-IL"/>
        </w:rPr>
      </w:pPr>
      <w:r>
        <w:rPr>
          <w:rStyle w:val="Strong"/>
          <w:rFonts w:cs="Arial" w:ascii="Arial" w:hAnsi="Arial"/>
        </w:rPr>
        <w:t>Somente para bens imóveis</w:t>
      </w:r>
      <w:r>
        <w:rPr>
          <w:rFonts w:cs="Arial" w:ascii="Arial" w:hAnsi="Arial"/>
        </w:rPr>
        <w:t>: Em face do disposto no art. art. 78 da Consolidação dos Provimentos da Corregedoria-Geral da Justiça do Trabalho, o arrematante/alienante está isento dos créditos tributários relativos a impostos cujo fato gerador seja a propriedade, o domínio útil ou a posse de bens imóveis, e bem assim os relativos a taxas pela prestação de serviços referentes a tais bens, ou a contribuições de melhoria da União, Estados, Municípios e Distrito Federal, salvo quando conste do título a prova de sua quitação, seja em hasta pública ou em alienação particular, estejam ou não inscritos na dívida ativa (art. 130, parágrafo único, do CTN). (Redação dada pelo Ato n. 10/GCGJT, de 18 de agosto de 2016).</w:t>
      </w:r>
    </w:p>
    <w:p>
      <w:pPr>
        <w:pStyle w:val="ListParagraph"/>
        <w:rPr>
          <w:rFonts w:ascii="Arial" w:hAnsi="Arial" w:cs="Arial"/>
          <w:color w:val="000000"/>
        </w:rPr>
      </w:pPr>
      <w:r>
        <w:rPr>
          <w:rFonts w:cs="Arial" w:ascii="Arial" w:hAnsi="Arial"/>
          <w:color w:val="000000"/>
        </w:rPr>
      </w:r>
    </w:p>
    <w:p>
      <w:pPr>
        <w:pStyle w:val="ListParagraph"/>
        <w:numPr>
          <w:ilvl w:val="0"/>
          <w:numId w:val="1"/>
        </w:numPr>
        <w:tabs>
          <w:tab w:val="clear" w:pos="708"/>
          <w:tab w:val="left" w:pos="284" w:leader="none"/>
          <w:tab w:val="left" w:pos="851" w:leader="none"/>
        </w:tabs>
        <w:spacing w:before="0" w:after="0"/>
        <w:ind w:hanging="0" w:left="0"/>
        <w:contextualSpacing/>
        <w:jc w:val="both"/>
        <w:rPr>
          <w:rFonts w:ascii="Arial" w:hAnsi="Arial" w:eastAsia="SimSun" w:cs="Arial"/>
          <w:b/>
          <w:kern w:val="2"/>
          <w:shd w:fill="FEFFFE" w:val="clear"/>
          <w:lang w:eastAsia="zh-CN" w:bidi="he-IL"/>
        </w:rPr>
      </w:pPr>
      <w:r>
        <w:rPr>
          <w:rFonts w:cs="Arial" w:ascii="Arial" w:hAnsi="Arial"/>
          <w:color w:val="000000"/>
        </w:rPr>
        <w:t>Nos termos do OFÍCIO CIRCULAR N. DJ/42/2019, de 08/10/2019, deste Regional, tendo em vista o que consta dos Ofícios n. CAE/JAE 375/2019 e 376/2019 e 099/2021 do Tribunal Regional do Trabalho da 20ª Região (e-PAD 33448/2019), os Srs. JOSEVALDO MOTA DE SOUZA - CPF 777.122.855-00 e JEOFRAN SANTOS BARRETO - CPF 027.562.545-17 e Sr. ALBERTH ANDREOLLE SANTIAGO DA SILVA - CPF: 04.333.624-99, estão PROIBIDOS de participar de qualquer leilão ofertado pela União pelo prazo de 12 meses, a contar respectivamente das datas das decisões proferidas nos autos n. 0000031-63.2016.5.20.0006 no dia 02/10/2019 e nos autos n. 0000806-88.2015.5.20.0014 no dia 03/10/2019 e nos autos 0001489-78.2017.5.20.0007 no dia 29/03/2021.</w:t>
      </w:r>
    </w:p>
    <w:p>
      <w:pPr>
        <w:pStyle w:val="ListParagraph"/>
        <w:rPr>
          <w:rFonts w:ascii="Arial" w:hAnsi="Arial" w:eastAsia="Times New Roman" w:cs="Arial"/>
          <w:color w:val="000000"/>
          <w:lang w:eastAsia="pt-BR"/>
        </w:rPr>
      </w:pPr>
      <w:r>
        <w:rPr>
          <w:rFonts w:eastAsia="Times New Roman" w:cs="Arial" w:ascii="Arial" w:hAnsi="Arial"/>
          <w:color w:val="000000"/>
          <w:lang w:eastAsia="pt-BR"/>
        </w:rPr>
      </w:r>
    </w:p>
    <w:p>
      <w:pPr>
        <w:pStyle w:val="ListParagraph"/>
        <w:numPr>
          <w:ilvl w:val="0"/>
          <w:numId w:val="1"/>
        </w:numPr>
        <w:tabs>
          <w:tab w:val="clear" w:pos="708"/>
          <w:tab w:val="left" w:pos="284" w:leader="none"/>
          <w:tab w:val="left" w:pos="851" w:leader="none"/>
        </w:tabs>
        <w:spacing w:before="0" w:after="0"/>
        <w:ind w:hanging="0" w:left="0"/>
        <w:contextualSpacing/>
        <w:jc w:val="both"/>
        <w:rPr>
          <w:rFonts w:ascii="Arial" w:hAnsi="Arial" w:eastAsia="SimSun" w:cs="Arial"/>
          <w:b/>
          <w:kern w:val="2"/>
          <w:shd w:fill="FEFFFE" w:val="clear"/>
          <w:lang w:eastAsia="zh-CN" w:bidi="he-IL"/>
        </w:rPr>
      </w:pPr>
      <w:r>
        <w:rPr>
          <w:rFonts w:eastAsia="Times New Roman" w:cs="Arial" w:ascii="Arial" w:hAnsi="Arial"/>
          <w:color w:val="000000"/>
          <w:lang w:eastAsia="pt-BR"/>
        </w:rPr>
        <w:t xml:space="preserve">  </w:t>
      </w:r>
      <w:r>
        <w:rPr>
          <w:rFonts w:cs="Arial" w:ascii="Arial" w:hAnsi="Arial"/>
        </w:rPr>
        <w:t>Fica(m), por este, intimado(s) o(s) devedor(es) e/ou depositário(s) não localizado(s),f</w:t>
      </w:r>
      <w:r>
        <w:rPr>
          <w:rFonts w:cs="Arial" w:ascii="Arial" w:hAnsi="Arial"/>
          <w:color w:val="000000"/>
        </w:rPr>
        <w:t xml:space="preserve">icam desde já intimadas às partes, os coproprietários, seus cônjuges, se casados forem, eventuais credores Hipotecários ou Fiduciários e credores com penhoras averbadas. </w:t>
      </w:r>
    </w:p>
    <w:p>
      <w:pPr>
        <w:pStyle w:val="ListParagraph"/>
        <w:rPr>
          <w:rStyle w:val="Strong"/>
          <w:rFonts w:ascii="Arial" w:hAnsi="Arial" w:cs="Arial"/>
          <w:color w:val="000000"/>
          <w:shd w:fill="FFFFFF" w:val="clear"/>
        </w:rPr>
      </w:pPr>
      <w:r>
        <w:rPr>
          <w:rFonts w:cs="Arial" w:ascii="Arial" w:hAnsi="Arial"/>
          <w:color w:val="000000"/>
          <w:shd w:fill="FFFFFF" w:val="clear"/>
        </w:rPr>
      </w:r>
    </w:p>
    <w:p>
      <w:pPr>
        <w:pStyle w:val="ListParagraph"/>
        <w:numPr>
          <w:ilvl w:val="0"/>
          <w:numId w:val="1"/>
        </w:numPr>
        <w:tabs>
          <w:tab w:val="clear" w:pos="708"/>
          <w:tab w:val="left" w:pos="284" w:leader="none"/>
          <w:tab w:val="left" w:pos="851" w:leader="none"/>
        </w:tabs>
        <w:spacing w:before="0" w:after="0"/>
        <w:ind w:hanging="0" w:left="0"/>
        <w:contextualSpacing/>
        <w:jc w:val="both"/>
        <w:rPr>
          <w:rFonts w:ascii="Arial" w:hAnsi="Arial" w:eastAsia="SimSun" w:cs="Arial"/>
          <w:b/>
          <w:kern w:val="2"/>
          <w:shd w:fill="FEFFFE" w:val="clear"/>
          <w:lang w:eastAsia="zh-CN" w:bidi="he-IL"/>
        </w:rPr>
      </w:pPr>
      <w:bookmarkStart w:id="2" w:name="_Hlk183176206"/>
      <w:r>
        <w:rPr>
          <w:rStyle w:val="Strong"/>
          <w:rFonts w:cs="Arial" w:ascii="Arial" w:hAnsi="Arial"/>
          <w:color w:val="000000"/>
          <w:shd w:fill="FFFFFF" w:val="clear"/>
        </w:rPr>
        <w:t xml:space="preserve">LEIA O EDITAL, NA DÚVIDA É O QUE VALE. </w:t>
      </w:r>
      <w:bookmarkEnd w:id="2"/>
    </w:p>
    <w:p>
      <w:pPr>
        <w:pStyle w:val="NoSpacing"/>
        <w:spacing w:lineRule="auto" w:line="276"/>
        <w:jc w:val="both"/>
        <w:rPr>
          <w:rFonts w:ascii="Arial" w:hAnsi="Arial" w:eastAsia="SimSun" w:cs="Arial"/>
          <w:b/>
          <w:kern w:val="2"/>
          <w:shd w:fill="FEFFFE" w:val="clear"/>
          <w:lang w:eastAsia="zh-CN" w:bidi="he-IL"/>
        </w:rPr>
      </w:pPr>
      <w:r>
        <w:rPr>
          <w:rFonts w:eastAsia="SimSun" w:cs="Arial" w:ascii="Arial" w:hAnsi="Arial"/>
          <w:b/>
          <w:kern w:val="2"/>
          <w:shd w:fill="FEFFFE" w:val="clear"/>
          <w:lang w:eastAsia="zh-CN" w:bidi="he-I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spacing w:before="0" w:after="200"/>
        <w:rPr>
          <w:rFonts w:ascii="Arial" w:hAnsi="Arial" w:cs="Arial"/>
        </w:rPr>
      </w:pPr>
      <w:r>
        <w:rPr>
          <w:rFonts w:cs="Arial" w:ascii="Arial" w:hAnsi="Arial"/>
        </w:rPr>
      </w:r>
    </w:p>
    <w:sectPr>
      <w:type w:val="nextPage"/>
      <w:pgSz w:w="11906" w:h="16838"/>
      <w:pgMar w:left="1701" w:right="1701"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1"/>
    <w:lvlOverride w:ilvl="0">
      <w:startOverride w:val="1"/>
    </w:lvlOverride>
  </w:num>
</w:numbering>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f22866"/>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f22866"/>
    <w:rPr>
      <w:color w:val="0000FF"/>
      <w:u w:val="single"/>
    </w:rPr>
  </w:style>
  <w:style w:type="character" w:styleId="Strong">
    <w:name w:val="Strong"/>
    <w:basedOn w:val="DefaultParagraphFont"/>
    <w:uiPriority w:val="22"/>
    <w:qFormat/>
    <w:rsid w:val="00f22866"/>
    <w:rPr>
      <w:b/>
      <w:bCs/>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ListParagraph">
    <w:name w:val="List Paragraph"/>
    <w:basedOn w:val="Normal"/>
    <w:uiPriority w:val="34"/>
    <w:qFormat/>
    <w:rsid w:val="00f22866"/>
    <w:pPr>
      <w:spacing w:before="0" w:after="200"/>
      <w:ind w:left="720"/>
      <w:contextualSpacing/>
    </w:pPr>
    <w:rPr/>
  </w:style>
  <w:style w:type="paragraph" w:styleId="NoSpacing">
    <w:name w:val="No Spacing"/>
    <w:uiPriority w:val="1"/>
    <w:qFormat/>
    <w:rsid w:val="00f22866"/>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paragraph" w:styleId="NormalWeb">
    <w:name w:val="Normal (Web)"/>
    <w:basedOn w:val="Normal"/>
    <w:uiPriority w:val="99"/>
    <w:unhideWhenUsed/>
    <w:qFormat/>
    <w:rsid w:val="00f22866"/>
    <w:pPr>
      <w:spacing w:lineRule="auto" w:line="240" w:beforeAutospacing="1" w:afterAutospacing="1"/>
    </w:pPr>
    <w:rPr>
      <w:rFonts w:ascii="Times New Roman" w:hAnsi="Times New Roman" w:eastAsia="Times New Roman" w:cs="Times New Roman"/>
      <w:sz w:val="24"/>
      <w:szCs w:val="24"/>
      <w:lang w:eastAsia="pt-BR"/>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rnaldoleiloes.com.br/" TargetMode="External"/><Relationship Id="rId3" Type="http://schemas.openxmlformats.org/officeDocument/2006/relationships/hyperlink" Target="http://www.arnaldoleiloes.com.br/" TargetMode="External"/><Relationship Id="rId4" Type="http://schemas.openxmlformats.org/officeDocument/2006/relationships/hyperlink" Target="http://www.arnaldoleiloes.com.br/" TargetMode="Externa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http://www.arnaldoleiloes.com.br/" TargetMode="External"/><Relationship Id="rId9" Type="http://schemas.openxmlformats.org/officeDocument/2006/relationships/hyperlink" Target="http://www.arnaldoleiloes.com.br/" TargetMode="Externa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o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1168</TotalTime>
  <Application>LibreOffice/25.2.7.2$Windows_X86_64 LibreOffice_project/5cbfd1ab6520636bb5f7b99185aa69bd7456825d</Application>
  <AppVersion>15.0000</AppVersion>
  <Pages>6</Pages>
  <Words>1882</Words>
  <Characters>10001</Characters>
  <CharactersWithSpaces>11848</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2026-03-04T19:43:00Z</dcterms:created>
  <dc:creator>Dep_pessoal8</dc:creator>
  <dc:description/>
  <dc:language>pt-BR</dc:language>
  <cp:lastModifiedBy/>
  <cp:lastPrinted>2026-03-06T09:17:30Z</cp:lastPrinted>
  <dcterms:modified xsi:type="dcterms:W3CDTF">2026-03-06T09:17:35Z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