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79D" w:rsidRPr="00CA079D" w:rsidRDefault="00CA079D" w:rsidP="00CA079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A079D">
        <w:rPr>
          <w:rFonts w:ascii="Arial" w:hAnsi="Arial" w:cs="Arial"/>
          <w:b/>
          <w:bCs/>
        </w:rPr>
        <w:t>EDITAL DE LEILÃO</w:t>
      </w:r>
    </w:p>
    <w:p w:rsidR="00CA079D" w:rsidRPr="00CA079D" w:rsidRDefault="00CA079D" w:rsidP="00CA079D">
      <w:pPr>
        <w:pStyle w:val="SemEspaamento"/>
        <w:spacing w:line="276" w:lineRule="auto"/>
        <w:jc w:val="center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41ª Vara do Trabalho de Belo Horizonte</w:t>
      </w:r>
      <w:r w:rsidRPr="00CA079D">
        <w:rPr>
          <w:rFonts w:ascii="Arial" w:hAnsi="Arial" w:cs="Arial"/>
          <w:b/>
          <w:bCs/>
        </w:rPr>
        <w:br/>
      </w:r>
      <w:r w:rsidRPr="00CA079D">
        <w:rPr>
          <w:rFonts w:ascii="Arial" w:hAnsi="Arial" w:cs="Arial"/>
          <w:color w:val="222222"/>
          <w:shd w:val="clear" w:color="auto" w:fill="FFFFFF"/>
        </w:rPr>
        <w:t>Rua Paracatu, 304 - 9º andar.</w:t>
      </w:r>
      <w:r w:rsidRPr="00CA079D">
        <w:rPr>
          <w:rFonts w:ascii="Arial" w:hAnsi="Arial" w:cs="Arial"/>
          <w:color w:val="222222"/>
        </w:rPr>
        <w:br/>
      </w:r>
      <w:r w:rsidRPr="00CA079D">
        <w:rPr>
          <w:rFonts w:ascii="Arial" w:hAnsi="Arial" w:cs="Arial"/>
          <w:color w:val="222222"/>
          <w:shd w:val="clear" w:color="auto" w:fill="FFFFFF"/>
        </w:rPr>
        <w:t>Barro Preto, Belo Horizonte/MG, CEP 30190-055</w:t>
      </w:r>
      <w:r w:rsidRPr="00CA079D">
        <w:rPr>
          <w:rFonts w:ascii="Arial" w:hAnsi="Arial" w:cs="Arial"/>
          <w:color w:val="222222"/>
        </w:rPr>
        <w:br/>
      </w:r>
      <w:r w:rsidRPr="00CA079D">
        <w:rPr>
          <w:rFonts w:ascii="Arial" w:hAnsi="Arial" w:cs="Arial"/>
          <w:color w:val="222222"/>
          <w:shd w:val="clear" w:color="auto" w:fill="FFFFFF"/>
        </w:rPr>
        <w:t>Tel.: (31) 3330-7541 - </w:t>
      </w:r>
      <w:hyperlink r:id="rId5" w:tgtFrame="_blank" w:history="1">
        <w:r w:rsidRPr="00CA079D">
          <w:rPr>
            <w:rStyle w:val="Hyperlink"/>
            <w:rFonts w:ascii="Arial" w:hAnsi="Arial" w:cs="Arial"/>
            <w:color w:val="1155CC"/>
            <w:shd w:val="clear" w:color="auto" w:fill="FFFFFF"/>
          </w:rPr>
          <w:t>varabh41@trt3.jus.br</w:t>
        </w:r>
      </w:hyperlink>
    </w:p>
    <w:p w:rsidR="00CA079D" w:rsidRPr="00CA079D" w:rsidRDefault="00CA079D" w:rsidP="00CA079D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</w:p>
    <w:p w:rsidR="00CA079D" w:rsidRPr="00CA079D" w:rsidRDefault="00CA079D" w:rsidP="00CA079D">
      <w:pPr>
        <w:suppressAutoHyphens w:val="0"/>
        <w:spacing w:line="276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CA079D">
        <w:rPr>
          <w:rFonts w:ascii="Arial" w:hAnsi="Arial" w:cs="Arial"/>
          <w:b/>
        </w:rPr>
        <w:t xml:space="preserve">PROCESSO: </w:t>
      </w:r>
      <w:r w:rsidRPr="00CA079D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0010352-29.2018.5.03.0179</w:t>
      </w:r>
      <w:r w:rsidRPr="00CA079D">
        <w:rPr>
          <w:rFonts w:ascii="Arial" w:eastAsia="Times New Roman" w:hAnsi="Arial" w:cs="Arial"/>
          <w:kern w:val="0"/>
          <w:lang w:eastAsia="pt-BR"/>
          <w14:ligatures w14:val="none"/>
        </w:rPr>
        <w:br/>
        <w:t>AUTOR: DENILSON DUARTE DA SILVA COSTA</w:t>
      </w:r>
      <w:r w:rsidRPr="00CA079D">
        <w:rPr>
          <w:rFonts w:ascii="Arial" w:eastAsia="Times New Roman" w:hAnsi="Arial" w:cs="Arial"/>
          <w:kern w:val="0"/>
          <w:lang w:eastAsia="pt-BR"/>
          <w14:ligatures w14:val="none"/>
        </w:rPr>
        <w:br/>
        <w:t>RÉU: K&amp;L MECANICA EIRELI E OUTROS (1)</w:t>
      </w:r>
    </w:p>
    <w:p w:rsidR="00CA079D" w:rsidRPr="00CA079D" w:rsidRDefault="00CA079D" w:rsidP="00CA079D">
      <w:pPr>
        <w:suppressAutoHyphens w:val="0"/>
        <w:spacing w:line="276" w:lineRule="auto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DATA E LOCAL DO LEILÃO</w:t>
      </w:r>
      <w:r w:rsidRPr="00CA079D">
        <w:rPr>
          <w:rFonts w:ascii="Arial" w:hAnsi="Arial" w:cs="Arial"/>
        </w:rPr>
        <w:br/>
      </w:r>
      <w:proofErr w:type="spellStart"/>
      <w:r w:rsidRPr="00CA079D">
        <w:rPr>
          <w:rFonts w:ascii="Arial" w:hAnsi="Arial" w:cs="Arial"/>
          <w:b/>
          <w:bCs/>
        </w:rPr>
        <w:t>Leilão</w:t>
      </w:r>
      <w:proofErr w:type="spellEnd"/>
      <w:r w:rsidRPr="00CA079D">
        <w:rPr>
          <w:rFonts w:ascii="Arial" w:hAnsi="Arial" w:cs="Arial"/>
          <w:b/>
          <w:bCs/>
        </w:rPr>
        <w:t xml:space="preserve"> Virtual e Presencial</w:t>
      </w:r>
      <w:r w:rsidRPr="00CA079D">
        <w:rPr>
          <w:rFonts w:ascii="Arial" w:hAnsi="Arial" w:cs="Arial"/>
        </w:rPr>
        <w:br/>
      </w:r>
      <w:r w:rsidRPr="00CA079D">
        <w:rPr>
          <w:rFonts w:ascii="Arial" w:hAnsi="Arial" w:cs="Arial"/>
          <w:b/>
          <w:bCs/>
        </w:rPr>
        <w:t>Data e Hora:</w:t>
      </w:r>
      <w:r w:rsidRPr="00CA079D">
        <w:rPr>
          <w:rFonts w:ascii="Arial" w:hAnsi="Arial" w:cs="Arial"/>
        </w:rPr>
        <w:t xml:space="preserve"> </w:t>
      </w:r>
      <w:r w:rsidRPr="00CA079D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5/07</w:t>
      </w:r>
      <w:bookmarkStart w:id="0" w:name="_GoBack"/>
      <w:bookmarkEnd w:id="0"/>
      <w:r w:rsidRPr="00CA079D">
        <w:rPr>
          <w:rFonts w:ascii="Arial" w:hAnsi="Arial" w:cs="Arial"/>
          <w:b/>
        </w:rPr>
        <w:t>/2026</w:t>
      </w:r>
      <w:r w:rsidRPr="00CA079D">
        <w:rPr>
          <w:rFonts w:ascii="Arial" w:hAnsi="Arial" w:cs="Arial"/>
        </w:rPr>
        <w:t>, às 14h00.</w:t>
      </w:r>
      <w:r w:rsidRPr="00CA079D">
        <w:rPr>
          <w:rFonts w:ascii="Arial" w:hAnsi="Arial" w:cs="Arial"/>
        </w:rPr>
        <w:br/>
      </w:r>
      <w:r w:rsidRPr="00CA079D">
        <w:rPr>
          <w:rFonts w:ascii="Arial" w:hAnsi="Arial" w:cs="Arial"/>
          <w:b/>
          <w:bCs/>
        </w:rPr>
        <w:t>Local Presencial:</w:t>
      </w:r>
      <w:r w:rsidRPr="00CA079D">
        <w:rPr>
          <w:rFonts w:ascii="Arial" w:hAnsi="Arial" w:cs="Arial"/>
        </w:rPr>
        <w:t xml:space="preserve"> Rua Sacadura Cabral, nº 680, Vila Oeste, Belo Horizonte/MG.</w:t>
      </w:r>
      <w:r w:rsidRPr="00CA079D">
        <w:rPr>
          <w:rFonts w:ascii="Arial" w:hAnsi="Arial" w:cs="Arial"/>
        </w:rPr>
        <w:br/>
      </w:r>
      <w:r w:rsidRPr="00CA079D">
        <w:rPr>
          <w:rFonts w:ascii="Arial" w:hAnsi="Arial" w:cs="Arial"/>
          <w:b/>
          <w:bCs/>
        </w:rPr>
        <w:t>Modalidade:</w:t>
      </w:r>
      <w:r w:rsidRPr="00CA079D">
        <w:rPr>
          <w:rFonts w:ascii="Arial" w:hAnsi="Arial" w:cs="Arial"/>
        </w:rPr>
        <w:t xml:space="preserve"> Virtual e Presencial.</w:t>
      </w:r>
    </w:p>
    <w:p w:rsidR="00CA079D" w:rsidRPr="00CA079D" w:rsidRDefault="00CA079D" w:rsidP="00CA079D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jc w:val="both"/>
        <w:rPr>
          <w:rFonts w:ascii="Arial" w:hAnsi="Arial" w:cs="Arial"/>
          <w:color w:val="FF0000"/>
        </w:rPr>
      </w:pPr>
      <w:r w:rsidRPr="00CA079D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CA079D" w:rsidRPr="00CA079D" w:rsidRDefault="00CA079D" w:rsidP="00CA079D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CA079D" w:rsidRPr="00CA079D" w:rsidRDefault="00CA079D" w:rsidP="00CA079D">
      <w:pPr>
        <w:spacing w:line="276" w:lineRule="auto"/>
        <w:jc w:val="both"/>
        <w:rPr>
          <w:rFonts w:ascii="Arial" w:hAnsi="Arial" w:cs="Arial"/>
          <w:b/>
          <w:bCs/>
        </w:rPr>
      </w:pPr>
      <w:r w:rsidRPr="00CA079D">
        <w:rPr>
          <w:rFonts w:ascii="Arial" w:hAnsi="Arial" w:cs="Arial"/>
          <w:b/>
          <w:bCs/>
        </w:rPr>
        <w:t>DESCRIÇÃO DO BEM PENHORADO:</w:t>
      </w:r>
    </w:p>
    <w:p w:rsidR="00CA079D" w:rsidRPr="00CA079D" w:rsidRDefault="00CA079D" w:rsidP="00CA079D">
      <w:pPr>
        <w:pStyle w:val="SemEspaamento"/>
        <w:spacing w:line="276" w:lineRule="auto"/>
        <w:rPr>
          <w:rFonts w:ascii="Arial" w:hAnsi="Arial" w:cs="Arial"/>
        </w:rPr>
      </w:pPr>
      <w:r w:rsidRPr="00CA079D">
        <w:rPr>
          <w:rFonts w:ascii="Arial" w:hAnsi="Arial" w:cs="Arial"/>
          <w:noProof/>
          <w:lang w:eastAsia="pt-BR"/>
          <w14:ligatures w14:val="none"/>
        </w:rPr>
        <w:drawing>
          <wp:inline distT="0" distB="0" distL="0" distR="0" wp14:anchorId="69928C2E" wp14:editId="7F35DB9E">
            <wp:extent cx="5400040" cy="362331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2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79D" w:rsidRPr="00CA079D" w:rsidRDefault="00CA079D" w:rsidP="00CA079D">
      <w:pPr>
        <w:pStyle w:val="SemEspaamento"/>
        <w:spacing w:line="276" w:lineRule="auto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AVALIAÇÃO: R$ 10.338,78(dez mil trezentos e trinta e oito reais e setenta e oito centavos). </w:t>
      </w:r>
    </w:p>
    <w:p w:rsidR="00CA079D" w:rsidRPr="00CA079D" w:rsidRDefault="00CA079D" w:rsidP="00CA079D">
      <w:pPr>
        <w:pStyle w:val="SemEspaamento"/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pStyle w:val="SemEspaamento"/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jc w:val="center"/>
        <w:rPr>
          <w:rFonts w:ascii="Arial" w:hAnsi="Arial" w:cs="Arial"/>
          <w:b/>
          <w:bCs/>
        </w:rPr>
      </w:pPr>
      <w:r w:rsidRPr="00CA079D">
        <w:rPr>
          <w:rFonts w:ascii="Arial" w:hAnsi="Arial" w:cs="Arial"/>
          <w:b/>
          <w:bCs/>
        </w:rPr>
        <w:lastRenderedPageBreak/>
        <w:t>OBSERVAÇÕES: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 leilão estará a cargo do leiloeiro oficial </w:t>
      </w:r>
      <w:r w:rsidRPr="00CA079D">
        <w:rPr>
          <w:rFonts w:ascii="Arial" w:hAnsi="Arial" w:cs="Arial"/>
          <w:b/>
          <w:bCs/>
        </w:rPr>
        <w:t xml:space="preserve">Arnaldo Emílio </w:t>
      </w:r>
      <w:proofErr w:type="spellStart"/>
      <w:r w:rsidRPr="00CA079D">
        <w:rPr>
          <w:rFonts w:ascii="Arial" w:hAnsi="Arial" w:cs="Arial"/>
          <w:b/>
          <w:bCs/>
        </w:rPr>
        <w:t>Colombarolli</w:t>
      </w:r>
      <w:proofErr w:type="spellEnd"/>
      <w:r w:rsidRPr="00CA079D">
        <w:rPr>
          <w:rFonts w:ascii="Arial" w:hAnsi="Arial" w:cs="Arial"/>
        </w:rPr>
        <w:t xml:space="preserve">, matrícula </w:t>
      </w:r>
      <w:proofErr w:type="spellStart"/>
      <w:r w:rsidRPr="00CA079D">
        <w:rPr>
          <w:rFonts w:ascii="Arial" w:hAnsi="Arial" w:cs="Arial"/>
        </w:rPr>
        <w:t>Jucemg</w:t>
      </w:r>
      <w:proofErr w:type="spellEnd"/>
      <w:r w:rsidRPr="00CA079D">
        <w:rPr>
          <w:rFonts w:ascii="Arial" w:hAnsi="Arial" w:cs="Arial"/>
        </w:rPr>
        <w:t xml:space="preserve"> nº 813 (</w:t>
      </w:r>
      <w:hyperlink r:id="rId7" w:tgtFrame="_new" w:history="1">
        <w:r w:rsidRPr="00CA079D">
          <w:rPr>
            <w:rStyle w:val="Hyperlink"/>
            <w:rFonts w:ascii="Arial" w:hAnsi="Arial" w:cs="Arial"/>
          </w:rPr>
          <w:t>www.arnaldoleiloes.com.br</w:t>
        </w:r>
      </w:hyperlink>
      <w:r w:rsidRPr="00CA079D">
        <w:rPr>
          <w:rFonts w:ascii="Arial" w:hAnsi="Arial" w:cs="Arial"/>
        </w:rPr>
        <w:t>), a ser realizado no local, data e horário acima especificados.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 preço mínimo de alienação foi fixado em </w:t>
      </w:r>
      <w:r w:rsidRPr="00CA079D">
        <w:rPr>
          <w:rFonts w:ascii="Arial" w:hAnsi="Arial" w:cs="Arial"/>
          <w:b/>
        </w:rPr>
        <w:t>30</w:t>
      </w:r>
      <w:r w:rsidRPr="00CA079D">
        <w:rPr>
          <w:rFonts w:ascii="Arial" w:hAnsi="Arial" w:cs="Arial"/>
          <w:b/>
          <w:bCs/>
        </w:rPr>
        <w:t>% do valor da avaliação</w:t>
      </w:r>
      <w:r w:rsidRPr="00CA079D">
        <w:rPr>
          <w:rFonts w:ascii="Arial" w:hAnsi="Arial" w:cs="Arial"/>
        </w:rPr>
        <w:t xml:space="preserve"> do bem penhorado, nos termos do despacho. 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>A comissão do leiloeiro será de 10</w:t>
      </w:r>
      <w:r w:rsidRPr="00CA079D">
        <w:rPr>
          <w:rFonts w:ascii="Arial" w:hAnsi="Arial" w:cs="Arial"/>
          <w:b/>
          <w:bCs/>
        </w:rPr>
        <w:t>%</w:t>
      </w:r>
      <w:r w:rsidRPr="00CA079D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Os interessados em participar do leilão devem apresentar </w:t>
      </w:r>
      <w:r w:rsidRPr="00CA079D">
        <w:rPr>
          <w:rFonts w:ascii="Arial" w:hAnsi="Arial" w:cs="Arial"/>
          <w:b/>
          <w:bCs/>
        </w:rPr>
        <w:t>documento de identificação</w:t>
      </w:r>
      <w:r w:rsidRPr="00CA079D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 valor da arrematação deverá ser quitado </w:t>
      </w:r>
      <w:r w:rsidRPr="00CA079D">
        <w:rPr>
          <w:rFonts w:ascii="Arial" w:hAnsi="Arial" w:cs="Arial"/>
          <w:b/>
          <w:bCs/>
        </w:rPr>
        <w:t>preferencialmente à vista</w:t>
      </w:r>
      <w:r w:rsidRPr="00CA079D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Em caso de </w:t>
      </w:r>
      <w:r w:rsidRPr="00CA079D">
        <w:rPr>
          <w:rFonts w:ascii="Arial" w:hAnsi="Arial" w:cs="Arial"/>
          <w:b/>
          <w:bCs/>
        </w:rPr>
        <w:t>desfeita da arrematação</w:t>
      </w:r>
      <w:r w:rsidRPr="00CA079D">
        <w:rPr>
          <w:rFonts w:ascii="Arial" w:hAnsi="Arial" w:cs="Arial"/>
        </w:rPr>
        <w:t xml:space="preserve">, remição ou adjudicação, os valores depositados serão </w:t>
      </w:r>
      <w:r w:rsidRPr="00CA079D">
        <w:rPr>
          <w:rFonts w:ascii="Arial" w:hAnsi="Arial" w:cs="Arial"/>
          <w:b/>
          <w:bCs/>
        </w:rPr>
        <w:t>restituídos ao arrematante</w:t>
      </w:r>
      <w:r w:rsidRPr="00CA079D">
        <w:rPr>
          <w:rFonts w:ascii="Arial" w:hAnsi="Arial" w:cs="Arial"/>
        </w:rPr>
        <w:t>, inclusive a comissão do leiloeiro, se for o caso.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Não será devida </w:t>
      </w:r>
      <w:r w:rsidRPr="00CA079D">
        <w:rPr>
          <w:rFonts w:ascii="Arial" w:hAnsi="Arial" w:cs="Arial"/>
          <w:b/>
          <w:bCs/>
        </w:rPr>
        <w:t>comissão ao leiloeiro</w:t>
      </w:r>
      <w:r w:rsidRPr="00CA079D">
        <w:rPr>
          <w:rFonts w:ascii="Arial" w:hAnsi="Arial" w:cs="Arial"/>
        </w:rPr>
        <w:t xml:space="preserve"> na hipótese de desistência de que trata o art. </w:t>
      </w:r>
      <w:proofErr w:type="gramStart"/>
      <w:r w:rsidRPr="00CA079D">
        <w:rPr>
          <w:rFonts w:ascii="Arial" w:hAnsi="Arial" w:cs="Arial"/>
        </w:rPr>
        <w:t>775/CPC anulação</w:t>
      </w:r>
      <w:proofErr w:type="gramEnd"/>
      <w:r w:rsidRPr="00CA079D">
        <w:rPr>
          <w:rFonts w:ascii="Arial" w:hAnsi="Arial" w:cs="Arial"/>
        </w:rPr>
        <w:t xml:space="preserve"> ou ineficácia da arrematação ou resultado negativo do leilão.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Em caso de remição ou adjudicação</w:t>
      </w:r>
      <w:r w:rsidRPr="00CA079D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Se houver </w:t>
      </w:r>
      <w:r w:rsidRPr="00CA079D">
        <w:rPr>
          <w:rFonts w:ascii="Arial" w:hAnsi="Arial" w:cs="Arial"/>
          <w:b/>
          <w:bCs/>
        </w:rPr>
        <w:t>acordo ou remição após o leilão</w:t>
      </w:r>
      <w:r w:rsidRPr="00CA079D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CA079D">
        <w:rPr>
          <w:rFonts w:ascii="Arial" w:hAnsi="Arial" w:cs="Arial"/>
          <w:b/>
          <w:bCs/>
        </w:rPr>
        <w:t xml:space="preserve"> (doze) meses</w:t>
      </w:r>
      <w:r w:rsidRPr="00CA079D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Cancelamento do leilão</w:t>
      </w:r>
      <w:r w:rsidRPr="00CA079D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CA079D">
        <w:rPr>
          <w:rFonts w:ascii="Arial" w:hAnsi="Arial" w:cs="Arial"/>
          <w:b/>
          <w:bCs/>
        </w:rPr>
        <w:t>honorários de 2%</w:t>
      </w:r>
      <w:r w:rsidRPr="00CA079D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CA079D">
        <w:rPr>
          <w:rFonts w:ascii="Arial" w:hAnsi="Arial" w:cs="Arial"/>
          <w:b/>
          <w:bCs/>
        </w:rPr>
        <w:t>encargos sobre o bem</w:t>
      </w:r>
      <w:r w:rsidRPr="00CA079D">
        <w:rPr>
          <w:rFonts w:ascii="Arial" w:hAnsi="Arial" w:cs="Arial"/>
        </w:rPr>
        <w:t>, mesmo que não expressos no edital.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CA079D">
        <w:rPr>
          <w:rFonts w:ascii="Arial" w:hAnsi="Arial" w:cs="Arial"/>
        </w:rPr>
        <w:lastRenderedPageBreak/>
        <w:t>O(</w:t>
      </w:r>
      <w:proofErr w:type="gramEnd"/>
      <w:r w:rsidRPr="00CA079D">
        <w:rPr>
          <w:rFonts w:ascii="Arial" w:hAnsi="Arial" w:cs="Arial"/>
        </w:rPr>
        <w:t>s) bem(</w:t>
      </w:r>
      <w:proofErr w:type="spellStart"/>
      <w:r w:rsidRPr="00CA079D">
        <w:rPr>
          <w:rFonts w:ascii="Arial" w:hAnsi="Arial" w:cs="Arial"/>
        </w:rPr>
        <w:t>ns</w:t>
      </w:r>
      <w:proofErr w:type="spellEnd"/>
      <w:r w:rsidRPr="00CA079D">
        <w:rPr>
          <w:rFonts w:ascii="Arial" w:hAnsi="Arial" w:cs="Arial"/>
        </w:rPr>
        <w:t>) será(</w:t>
      </w:r>
      <w:proofErr w:type="spellStart"/>
      <w:r w:rsidRPr="00CA079D">
        <w:rPr>
          <w:rFonts w:ascii="Arial" w:hAnsi="Arial" w:cs="Arial"/>
        </w:rPr>
        <w:t>ão</w:t>
      </w:r>
      <w:proofErr w:type="spellEnd"/>
      <w:r w:rsidRPr="00CA079D">
        <w:rPr>
          <w:rFonts w:ascii="Arial" w:hAnsi="Arial" w:cs="Arial"/>
        </w:rPr>
        <w:t xml:space="preserve">) </w:t>
      </w:r>
      <w:r w:rsidRPr="00CA079D">
        <w:rPr>
          <w:rFonts w:ascii="Arial" w:hAnsi="Arial" w:cs="Arial"/>
          <w:b/>
          <w:bCs/>
        </w:rPr>
        <w:t>vendido(s) no estado de conservação em que se encontra(m)</w:t>
      </w:r>
      <w:r w:rsidRPr="00CA079D">
        <w:rPr>
          <w:rFonts w:ascii="Arial" w:hAnsi="Arial" w:cs="Arial"/>
        </w:rPr>
        <w:t>, sem garantia. É de responsabilidade do interessado verificar as condições do bem.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O valor total da </w:t>
      </w:r>
      <w:r w:rsidRPr="00CA079D">
        <w:rPr>
          <w:rFonts w:ascii="Arial" w:hAnsi="Arial" w:cs="Arial"/>
          <w:b/>
          <w:bCs/>
        </w:rPr>
        <w:t>arrematação</w:t>
      </w:r>
      <w:r w:rsidRPr="00CA079D">
        <w:rPr>
          <w:rFonts w:ascii="Arial" w:hAnsi="Arial" w:cs="Arial"/>
        </w:rPr>
        <w:t xml:space="preserve"> deverá ser depositado pelo arrematante no prazo máximo de 24 HORAS </w:t>
      </w:r>
      <w:r w:rsidRPr="00CA079D">
        <w:rPr>
          <w:rFonts w:ascii="Arial" w:hAnsi="Arial" w:cs="Arial"/>
          <w:b/>
          <w:bCs/>
        </w:rPr>
        <w:t>após o encerramento do leilão</w:t>
      </w:r>
      <w:r w:rsidRPr="00CA079D">
        <w:rPr>
          <w:rFonts w:ascii="Arial" w:hAnsi="Arial" w:cs="Arial"/>
        </w:rPr>
        <w:t>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Se houver </w:t>
      </w:r>
      <w:r w:rsidRPr="00CA079D">
        <w:rPr>
          <w:rFonts w:ascii="Arial" w:hAnsi="Arial" w:cs="Arial"/>
          <w:b/>
          <w:bCs/>
        </w:rPr>
        <w:t>desistência da arrematação</w:t>
      </w:r>
      <w:r w:rsidRPr="00CA079D">
        <w:rPr>
          <w:rFonts w:ascii="Arial" w:hAnsi="Arial" w:cs="Arial"/>
        </w:rPr>
        <w:t xml:space="preserve"> fora das hipóteses legais, o arrematante poderá ser </w:t>
      </w:r>
      <w:r w:rsidRPr="00CA079D">
        <w:rPr>
          <w:rFonts w:ascii="Arial" w:hAnsi="Arial" w:cs="Arial"/>
          <w:b/>
          <w:bCs/>
        </w:rPr>
        <w:t>multado</w:t>
      </w:r>
      <w:r w:rsidRPr="00CA079D">
        <w:rPr>
          <w:rFonts w:ascii="Arial" w:hAnsi="Arial" w:cs="Arial"/>
        </w:rPr>
        <w:t>, além de ter que pagar a comissão do leiloeiro.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A comissão do leiloeiro </w:t>
      </w:r>
      <w:r w:rsidRPr="00CA079D">
        <w:rPr>
          <w:rFonts w:ascii="Arial" w:hAnsi="Arial" w:cs="Arial"/>
          <w:b/>
          <w:bCs/>
        </w:rPr>
        <w:t>não será devolvida</w:t>
      </w:r>
      <w:r w:rsidRPr="00CA079D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Se o valor da </w:t>
      </w:r>
      <w:r w:rsidRPr="00CA079D">
        <w:rPr>
          <w:rFonts w:ascii="Arial" w:hAnsi="Arial" w:cs="Arial"/>
          <w:b/>
          <w:bCs/>
        </w:rPr>
        <w:t>arrematação</w:t>
      </w:r>
      <w:r w:rsidRPr="00CA079D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CA079D">
        <w:rPr>
          <w:rFonts w:ascii="Arial" w:hAnsi="Arial" w:cs="Arial"/>
          <w:b/>
          <w:bCs/>
        </w:rPr>
        <w:t>pena de detenção de dois meses a um ano</w:t>
      </w:r>
      <w:r w:rsidRPr="00CA079D">
        <w:rPr>
          <w:rFonts w:ascii="Arial" w:hAnsi="Arial" w:cs="Arial"/>
        </w:rPr>
        <w:t>, ou multa, além da pena correspondente à violência.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Ficam intimadas as </w:t>
      </w:r>
      <w:r w:rsidRPr="00CA079D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CA079D">
        <w:rPr>
          <w:rFonts w:ascii="Arial" w:hAnsi="Arial" w:cs="Arial"/>
        </w:rPr>
        <w:t>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Ficam intimados </w:t>
      </w:r>
      <w:proofErr w:type="gramStart"/>
      <w:r w:rsidRPr="00CA079D">
        <w:rPr>
          <w:rFonts w:ascii="Arial" w:hAnsi="Arial" w:cs="Arial"/>
        </w:rPr>
        <w:t>o(</w:t>
      </w:r>
      <w:proofErr w:type="gramEnd"/>
      <w:r w:rsidRPr="00CA079D">
        <w:rPr>
          <w:rFonts w:ascii="Arial" w:hAnsi="Arial" w:cs="Arial"/>
        </w:rPr>
        <w:t xml:space="preserve">s) </w:t>
      </w:r>
      <w:r w:rsidRPr="00CA079D">
        <w:rPr>
          <w:rFonts w:ascii="Arial" w:hAnsi="Arial" w:cs="Arial"/>
          <w:b/>
          <w:bCs/>
        </w:rPr>
        <w:t>devedor(es) e/ou depositário(s)</w:t>
      </w:r>
      <w:r w:rsidRPr="00CA079D">
        <w:rPr>
          <w:rFonts w:ascii="Arial" w:hAnsi="Arial" w:cs="Arial"/>
        </w:rPr>
        <w:t xml:space="preserve"> não localizado(s).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</w:rPr>
        <w:t xml:space="preserve">A arrematação será considerada concluída somente após a </w:t>
      </w:r>
      <w:r w:rsidRPr="00CA079D">
        <w:rPr>
          <w:rFonts w:ascii="Arial" w:hAnsi="Arial" w:cs="Arial"/>
          <w:b/>
          <w:bCs/>
        </w:rPr>
        <w:t>homologação pelo MM Juiz</w:t>
      </w:r>
      <w:r w:rsidRPr="00CA079D">
        <w:rPr>
          <w:rFonts w:ascii="Arial" w:hAnsi="Arial" w:cs="Arial"/>
        </w:rPr>
        <w:t xml:space="preserve"> da vara competente.</w:t>
      </w:r>
    </w:p>
    <w:p w:rsidR="00CA079D" w:rsidRPr="00CA079D" w:rsidRDefault="00CA079D" w:rsidP="00CA079D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CA079D">
        <w:rPr>
          <w:rFonts w:ascii="Arial" w:hAnsi="Arial" w:cs="Arial"/>
          <w:b/>
          <w:bCs/>
        </w:rPr>
        <w:t>LEIA O EDITAL.</w:t>
      </w:r>
      <w:r w:rsidRPr="00CA079D">
        <w:rPr>
          <w:rFonts w:ascii="Arial" w:hAnsi="Arial" w:cs="Arial"/>
        </w:rPr>
        <w:t xml:space="preserve"> Em caso de dúvida, o que estiver disposto no edital é o que prevalecerá.</w:t>
      </w: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CA079D" w:rsidRPr="00CA079D" w:rsidRDefault="00CA079D" w:rsidP="00CA079D">
      <w:pPr>
        <w:spacing w:line="276" w:lineRule="auto"/>
        <w:rPr>
          <w:rFonts w:ascii="Arial" w:hAnsi="Arial" w:cs="Arial"/>
        </w:rPr>
      </w:pPr>
    </w:p>
    <w:p w:rsidR="006F7A2C" w:rsidRPr="00CA079D" w:rsidRDefault="006F7A2C" w:rsidP="00CA079D">
      <w:pPr>
        <w:spacing w:line="276" w:lineRule="auto"/>
        <w:rPr>
          <w:rFonts w:ascii="Arial" w:hAnsi="Arial" w:cs="Arial"/>
        </w:rPr>
      </w:pPr>
    </w:p>
    <w:sectPr w:rsidR="006F7A2C" w:rsidRPr="00CA079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4B6601"/>
    <w:multiLevelType w:val="multilevel"/>
    <w:tmpl w:val="0C487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79D"/>
    <w:rsid w:val="006F7A2C"/>
    <w:rsid w:val="00CA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73302"/>
  <w15:chartTrackingRefBased/>
  <w15:docId w15:val="{DFA1D3F2-A05A-4B1C-B501-996821C75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079D"/>
    <w:pPr>
      <w:suppressAutoHyphens/>
      <w:spacing w:line="256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A079D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CA079D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CA07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91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varabh41@trt3.jus.b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795</Words>
  <Characters>4295</Characters>
  <Application>Microsoft Office Word</Application>
  <DocSecurity>0</DocSecurity>
  <Lines>35</Lines>
  <Paragraphs>10</Paragraphs>
  <ScaleCrop>false</ScaleCrop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2026-06-03T16:23:00Z</dcterms:created>
  <dcterms:modified xsi:type="dcterms:W3CDTF">2026-06-03T16:27:00Z</dcterms:modified>
</cp:coreProperties>
</file>