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E</w:t>
      </w:r>
      <w:bookmarkStart w:id="0" w:name="_GoBack"/>
      <w:bookmarkEnd w:id="0"/>
      <w:r>
        <w:rPr>
          <w:rFonts w:cs="Arial" w:ascii="Arial" w:hAnsi="Arial"/>
          <w:b/>
          <w:bCs/>
        </w:rPr>
        <w:t>DITAL DE LEILÃO</w:t>
      </w:r>
    </w:p>
    <w:p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42ª Vara do Trabalho de Belo Horizonte</w:t>
        <w:br/>
        <w:t xml:space="preserve">RUA DOS GOITACAZES, 1475, BARRO PRETO, BELO HORIZONTE/MG </w:t>
      </w:r>
    </w:p>
    <w:p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TEL.: (31) 33307542 – E-MAIL: varabh42@trt3.jus.br</w:t>
      </w:r>
    </w:p>
    <w:p>
      <w:pPr>
        <w:pStyle w:val="NoSpacing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uppressAutoHyphens w:val="false"/>
        <w:rPr>
          <w:rFonts w:ascii="Arial" w:hAnsi="Arial" w:eastAsia="Times New Roman" w:cs="Arial"/>
          <w:lang w:eastAsia="pt-BR"/>
        </w:rPr>
      </w:pPr>
      <w:r>
        <w:rPr>
          <w:rFonts w:cs="Arial" w:ascii="Arial" w:hAnsi="Arial"/>
          <w:b/>
          <w:bCs/>
        </w:rPr>
        <w:t xml:space="preserve">PROCESSO: </w:t>
      </w:r>
      <w:r>
        <w:rPr>
          <w:rFonts w:eastAsia="Times New Roman" w:cs="Arial" w:ascii="Arial" w:hAnsi="Arial"/>
          <w:b/>
          <w:bCs/>
          <w:lang w:eastAsia="pt-BR"/>
        </w:rPr>
        <w:t>0010743-68.2024.5.03.0180</w:t>
      </w:r>
      <w:r>
        <w:rPr>
          <w:rFonts w:eastAsia="Times New Roman" w:cs="Arial" w:ascii="Arial" w:hAnsi="Arial"/>
          <w:lang w:eastAsia="pt-BR"/>
        </w:rPr>
        <w:t xml:space="preserve"> </w:t>
        <w:br/>
        <w:t xml:space="preserve">EXEQUENTE: VANESSA SOUZA CRUZ </w:t>
        <w:br/>
        <w:t xml:space="preserve">EXECUTADO: FUNDACAO DE APOIO E DESENVOLVIMENTO DA EDUCACAO, CIENCIA, E TECNOLOGIA DE MINAS GERAIS - FUNDACAO RENATO AZEREDO </w:t>
      </w:r>
    </w:p>
    <w:p>
      <w:pPr>
        <w:pStyle w:val="Normal"/>
        <w:pBdr>
          <w:bottom w:val="single" w:sz="4" w:space="1" w:color="000000"/>
        </w:pBdr>
        <w:suppressAutoHyphens w:val="false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 xml:space="preserve">DATAS E LOCAIS DOS LEILÕES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</w:tabs>
        <w:ind w:hanging="142" w:start="284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1º Leilão Virtual e Presencial</w:t>
      </w:r>
      <w:r>
        <w:rPr>
          <w:rFonts w:cs="Arial" w:ascii="Arial" w:hAnsi="Arial"/>
        </w:rPr>
        <w:br/>
        <w:t xml:space="preserve">Data e Hora: </w:t>
      </w:r>
      <w:r>
        <w:rPr>
          <w:rFonts w:cs="Arial" w:ascii="Arial" w:hAnsi="Arial"/>
          <w:b/>
          <w:bCs/>
        </w:rPr>
        <w:t>16/09/2026</w:t>
      </w:r>
      <w:r>
        <w:rPr>
          <w:rFonts w:cs="Arial" w:ascii="Arial" w:hAnsi="Arial"/>
        </w:rPr>
        <w:t xml:space="preserve">, às </w:t>
      </w:r>
      <w:r>
        <w:rPr>
          <w:rFonts w:cs="Arial" w:ascii="Arial" w:hAnsi="Arial"/>
          <w:b/>
          <w:bCs/>
        </w:rPr>
        <w:t>14h00</w:t>
      </w:r>
      <w:r>
        <w:rPr>
          <w:rFonts w:cs="Arial" w:ascii="Arial" w:hAnsi="Arial"/>
        </w:rPr>
        <w:t>.</w:t>
        <w:br/>
        <w:t>Local Presencial: Rua Sacadura Cabral, nº 680, Vila Oeste, Belo Horizonte/MG.</w:t>
        <w:br/>
        <w:t>Modalidade: Virtual e Presencial.</w:t>
      </w:r>
    </w:p>
    <w:p>
      <w:pPr>
        <w:pStyle w:val="Normal"/>
        <w:numPr>
          <w:ilvl w:val="0"/>
          <w:numId w:val="1"/>
        </w:numPr>
        <w:pBdr>
          <w:bottom w:val="single" w:sz="4" w:space="1" w:color="000000"/>
        </w:pBdr>
        <w:tabs>
          <w:tab w:val="clear" w:pos="708"/>
        </w:tabs>
        <w:ind w:hanging="142" w:start="284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2º Leilão Virtual e Presencial</w:t>
      </w:r>
      <w:r>
        <w:rPr>
          <w:rFonts w:cs="Arial" w:ascii="Arial" w:hAnsi="Arial"/>
        </w:rPr>
        <w:br/>
        <w:t xml:space="preserve">Data e Hora: </w:t>
      </w:r>
      <w:r>
        <w:rPr>
          <w:rFonts w:cs="Arial" w:ascii="Arial" w:hAnsi="Arial"/>
          <w:b/>
          <w:bCs/>
        </w:rPr>
        <w:t>16/09/2026</w:t>
      </w:r>
      <w:r>
        <w:rPr>
          <w:rFonts w:cs="Arial" w:ascii="Arial" w:hAnsi="Arial"/>
        </w:rPr>
        <w:t xml:space="preserve">, às </w:t>
      </w:r>
      <w:r>
        <w:rPr>
          <w:rFonts w:cs="Arial" w:ascii="Arial" w:hAnsi="Arial"/>
          <w:b/>
          <w:bCs/>
        </w:rPr>
        <w:t>14:15h</w:t>
      </w:r>
      <w:r>
        <w:rPr>
          <w:rFonts w:cs="Arial" w:ascii="Arial" w:hAnsi="Arial"/>
        </w:rPr>
        <w:t>.</w:t>
        <w:br/>
        <w:t>Local Presencial: Rua Sacadura Cabral, nº 680, Vila Oeste, Belo Horizonte/MG.</w:t>
        <w:br/>
        <w:t>Modalidade: Virtual e Presencial.</w:t>
      </w:r>
    </w:p>
    <w:p>
      <w:pPr>
        <w:pStyle w:val="Normal"/>
        <w:pBdr>
          <w:bottom w:val="single" w:sz="4" w:space="1" w:color="000000"/>
        </w:pBdr>
        <w:jc w:val="both"/>
        <w:rPr>
          <w:rStyle w:val="Strong"/>
          <w:rFonts w:ascii="Arial" w:hAnsi="Arial" w:cs="Arial"/>
        </w:rPr>
      </w:pPr>
      <w:r>
        <w:rPr>
          <w:rFonts w:cs="Arial" w:ascii="Arial" w:hAnsi="Arial"/>
          <w:color w:val="FF0000"/>
        </w:rPr>
        <w:t>O leilão começará às 14:00 horas, seguindo a ordem dos lotes. Cada lote será encerrado imediatamente após o recebimento do maior lance ou, se não houver lances, ao final do tempo estipulado para aquele lote. O leilão pode ser encerrado antes das 16:00 horas, caso todos os lotes sejam finalizados antes deste horário.</w:t>
      </w:r>
    </w:p>
    <w:p>
      <w:pPr>
        <w:pStyle w:val="NormalWeb"/>
        <w:spacing w:before="280" w:after="280"/>
        <w:rPr>
          <w:rStyle w:val="Strong"/>
          <w:rFonts w:ascii="Arial" w:hAnsi="Arial" w:eastAsia="" w:cs="Arial" w:eastAsiaTheme="majorEastAsia"/>
          <w:sz w:val="22"/>
          <w:szCs w:val="22"/>
        </w:rPr>
      </w:pPr>
      <w:r>
        <w:rPr>
          <w:rStyle w:val="Strong"/>
          <w:rFonts w:eastAsia="" w:cs="Arial" w:ascii="Arial" w:hAnsi="Arial" w:eastAsiaTheme="majorEastAsia"/>
          <w:sz w:val="22"/>
          <w:szCs w:val="22"/>
        </w:rPr>
        <w:t xml:space="preserve">DESCRIÇÃO DO BEM PENHORADO: </w:t>
      </w:r>
    </w:p>
    <w:p>
      <w:pPr>
        <w:pStyle w:val="Normal"/>
        <w:suppressAutoHyphens w:val="false"/>
        <w:spacing w:lineRule="auto" w:line="240" w:beforeAutospacing="1" w:afterAutospacing="1"/>
        <w:jc w:val="both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  <w:t>Lotes de número 07, 08 e 09 da quadra 37, da Vila Cloris, nesta capital, com áreas, respectivamente, de 965,87 m², 977,44 m² e 1.544,80 m², perfazendo uma área total de 3.488,11 m², referente aos 03 lotes, com demais limites e confrontações de acordo com a planta respectiva.</w:t>
      </w:r>
    </w:p>
    <w:p>
      <w:pPr>
        <w:pStyle w:val="Normal"/>
        <w:suppressAutoHyphens w:val="false"/>
        <w:spacing w:lineRule="auto" w:line="240" w:beforeAutospacing="1" w:afterAutospacing="1"/>
        <w:jc w:val="both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b/>
          <w:bCs/>
          <w:iCs/>
          <w:lang w:eastAsia="pt-BR"/>
        </w:rPr>
        <w:t xml:space="preserve">ENDEREÇO: </w:t>
      </w:r>
      <w:r>
        <w:rPr>
          <w:rFonts w:eastAsia="Times New Roman" w:cs="Arial" w:ascii="Arial" w:hAnsi="Arial"/>
          <w:iCs/>
          <w:lang w:eastAsia="pt-BR"/>
        </w:rPr>
        <w:t>RUA DAS TANGERINAS, 933- ESQ. C/ AV. CRISTIANO MACHADOVILA CLORIS- BH/MG.</w:t>
      </w:r>
    </w:p>
    <w:p>
      <w:pPr>
        <w:pStyle w:val="Normal"/>
        <w:suppressAutoHyphens w:val="false"/>
        <w:spacing w:lineRule="auto" w:line="240" w:beforeAutospacing="1" w:afterAutospacing="1"/>
        <w:jc w:val="both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  <w:t xml:space="preserve">Registre-se, por oportuno, que as metragens e dados acima mencionados, referentes a cada lote, foram colhidos com base nas certidões expedidas pelo Cartório do 5º Ofício de Registro de Imóveis de </w:t>
      </w:r>
      <w:r>
        <w:rPr>
          <w:rStyle w:val="Strong"/>
          <w:rFonts w:cs="Arial" w:ascii="Arial" w:hAnsi="Arial"/>
        </w:rPr>
        <w:t>Belo Horizonte/MG</w:t>
      </w:r>
      <w:r>
        <w:rPr>
          <w:rFonts w:cs="Arial" w:ascii="Arial" w:hAnsi="Arial"/>
        </w:rPr>
        <w:t xml:space="preserve">, conforme as matrículas </w:t>
      </w:r>
      <w:r>
        <w:rPr>
          <w:rStyle w:val="Strong"/>
          <w:rFonts w:cs="Arial" w:ascii="Arial" w:hAnsi="Arial"/>
        </w:rPr>
        <w:t>47.699, 47.700 e 47.701</w:t>
      </w:r>
      <w:r>
        <w:rPr>
          <w:rFonts w:cs="Arial" w:ascii="Arial" w:hAnsi="Arial"/>
        </w:rPr>
        <w:t xml:space="preserve">, do </w:t>
      </w:r>
      <w:r>
        <w:rPr>
          <w:rStyle w:val="Strong"/>
          <w:rFonts w:cs="Arial" w:ascii="Arial" w:hAnsi="Arial"/>
        </w:rPr>
        <w:t>Livro nº 2, Registro Geral</w:t>
      </w:r>
      <w:r>
        <w:rPr>
          <w:rFonts w:cs="Arial" w:ascii="Arial" w:hAnsi="Arial"/>
        </w:rPr>
        <w:t>.</w:t>
      </w:r>
    </w:p>
    <w:p>
      <w:pPr>
        <w:pStyle w:val="NormalWeb"/>
        <w:spacing w:before="280" w:after="28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Nos três lotes foi construída a </w:t>
      </w:r>
      <w:r>
        <w:rPr>
          <w:rStyle w:val="Strong"/>
          <w:rFonts w:cs="Arial" w:ascii="Arial" w:hAnsi="Arial"/>
          <w:sz w:val="22"/>
          <w:szCs w:val="22"/>
        </w:rPr>
        <w:t>sede da ré</w:t>
      </w:r>
      <w:r>
        <w:rPr>
          <w:rFonts w:cs="Arial" w:ascii="Arial" w:hAnsi="Arial"/>
          <w:sz w:val="22"/>
          <w:szCs w:val="22"/>
        </w:rPr>
        <w:t xml:space="preserve">, com </w:t>
      </w:r>
      <w:r>
        <w:rPr>
          <w:rStyle w:val="Strong"/>
          <w:rFonts w:cs="Arial" w:ascii="Arial" w:hAnsi="Arial"/>
          <w:sz w:val="22"/>
          <w:szCs w:val="22"/>
        </w:rPr>
        <w:t>4.902,97 m² de área construída</w:t>
      </w:r>
      <w:r>
        <w:rPr>
          <w:rFonts w:cs="Arial" w:ascii="Arial" w:hAnsi="Arial"/>
          <w:sz w:val="22"/>
          <w:szCs w:val="22"/>
        </w:rPr>
        <w:t xml:space="preserve">, de acordo com dados do </w:t>
      </w:r>
      <w:r>
        <w:rPr>
          <w:rStyle w:val="Strong"/>
          <w:rFonts w:cs="Arial" w:ascii="Arial" w:hAnsi="Arial"/>
          <w:sz w:val="22"/>
          <w:szCs w:val="22"/>
        </w:rPr>
        <w:t>IPTU</w:t>
      </w:r>
      <w:r>
        <w:rPr>
          <w:rFonts w:cs="Arial" w:ascii="Arial" w:hAnsi="Arial"/>
          <w:sz w:val="22"/>
          <w:szCs w:val="22"/>
        </w:rPr>
        <w:t xml:space="preserve"> do imóvel, contendo: </w:t>
      </w:r>
    </w:p>
    <w:p>
      <w:pPr>
        <w:pStyle w:val="Heading4"/>
        <w:rPr>
          <w:rFonts w:ascii="Arial" w:hAnsi="Arial" w:cs="Arial"/>
        </w:rPr>
      </w:pPr>
      <w:r>
        <w:rPr>
          <w:rStyle w:val="Strong"/>
          <w:rFonts w:cs="Arial" w:ascii="Arial" w:hAnsi="Arial"/>
          <w:b w:val="false"/>
          <w:bCs w:val="false"/>
        </w:rPr>
        <w:t>Térreo:</w:t>
      </w:r>
    </w:p>
    <w:p>
      <w:pPr>
        <w:pStyle w:val="NormalWeb"/>
        <w:numPr>
          <w:ilvl w:val="0"/>
          <w:numId w:val="3"/>
        </w:numPr>
        <w:suppressAutoHyphens w:val="false"/>
        <w:spacing w:before="10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 auditório com capacidade para </w:t>
      </w:r>
      <w:r>
        <w:rPr>
          <w:rStyle w:val="Strong"/>
          <w:rFonts w:cs="Arial" w:ascii="Arial" w:hAnsi="Arial"/>
          <w:sz w:val="22"/>
          <w:szCs w:val="22"/>
        </w:rPr>
        <w:t>327 pessoas</w:t>
      </w:r>
      <w:r>
        <w:rPr>
          <w:rFonts w:cs="Arial" w:ascii="Arial" w:hAnsi="Arial"/>
          <w:sz w:val="22"/>
          <w:szCs w:val="22"/>
        </w:rPr>
        <w:t xml:space="preserve"> e </w:t>
      </w:r>
      <w:r>
        <w:rPr>
          <w:rStyle w:val="Strong"/>
          <w:rFonts w:cs="Arial" w:ascii="Arial" w:hAnsi="Arial"/>
          <w:sz w:val="22"/>
          <w:szCs w:val="22"/>
        </w:rPr>
        <w:t>2 camarins</w:t>
      </w:r>
    </w:p>
    <w:p>
      <w:pPr>
        <w:pStyle w:val="NormalWeb"/>
        <w:numPr>
          <w:ilvl w:val="0"/>
          <w:numId w:val="3"/>
        </w:numPr>
        <w:suppressAutoHyphens w:val="false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 </w:t>
      </w:r>
      <w:r>
        <w:rPr>
          <w:rStyle w:val="Strong"/>
          <w:rFonts w:cs="Arial" w:ascii="Arial" w:hAnsi="Arial"/>
          <w:sz w:val="22"/>
          <w:szCs w:val="22"/>
        </w:rPr>
        <w:t>foyer</w:t>
      </w:r>
    </w:p>
    <w:p>
      <w:pPr>
        <w:pStyle w:val="NormalWeb"/>
        <w:numPr>
          <w:ilvl w:val="0"/>
          <w:numId w:val="3"/>
        </w:numPr>
        <w:suppressAutoHyphens w:val="false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 salão de festas/recepção com capacidade para </w:t>
      </w:r>
      <w:r>
        <w:rPr>
          <w:rStyle w:val="Strong"/>
          <w:rFonts w:cs="Arial" w:ascii="Arial" w:hAnsi="Arial"/>
          <w:sz w:val="22"/>
          <w:szCs w:val="22"/>
        </w:rPr>
        <w:t>315 pessoas</w:t>
      </w:r>
    </w:p>
    <w:p>
      <w:pPr>
        <w:pStyle w:val="NormalWeb"/>
        <w:numPr>
          <w:ilvl w:val="0"/>
          <w:numId w:val="3"/>
        </w:numPr>
        <w:suppressAutoHyphens w:val="false"/>
        <w:spacing w:before="0" w:after="100"/>
        <w:rPr>
          <w:rFonts w:ascii="Arial" w:hAnsi="Arial" w:cs="Arial"/>
          <w:sz w:val="22"/>
          <w:szCs w:val="22"/>
        </w:rPr>
      </w:pPr>
      <w:r>
        <w:rPr>
          <w:rStyle w:val="Strong"/>
          <w:rFonts w:cs="Arial" w:ascii="Arial" w:hAnsi="Arial"/>
          <w:sz w:val="22"/>
          <w:szCs w:val="22"/>
        </w:rPr>
        <w:t>2 saídas de emergência</w:t>
      </w:r>
    </w:p>
    <w:p>
      <w:pPr>
        <w:pStyle w:val="Heading4"/>
        <w:rPr>
          <w:rFonts w:ascii="Arial" w:hAnsi="Arial" w:cs="Arial"/>
        </w:rPr>
      </w:pPr>
      <w:r>
        <w:rPr>
          <w:rStyle w:val="Strong"/>
          <w:rFonts w:cs="Arial" w:ascii="Arial" w:hAnsi="Arial"/>
          <w:b w:val="false"/>
          <w:bCs w:val="false"/>
        </w:rPr>
        <w:t>Primeiro andar:</w:t>
      </w:r>
    </w:p>
    <w:p>
      <w:pPr>
        <w:pStyle w:val="NormalWeb"/>
        <w:numPr>
          <w:ilvl w:val="0"/>
          <w:numId w:val="4"/>
        </w:numPr>
        <w:suppressAutoHyphens w:val="false"/>
        <w:spacing w:before="100" w:after="0"/>
        <w:rPr>
          <w:rFonts w:ascii="Arial" w:hAnsi="Arial" w:cs="Arial"/>
          <w:sz w:val="22"/>
          <w:szCs w:val="22"/>
        </w:rPr>
      </w:pPr>
      <w:r>
        <w:rPr>
          <w:rStyle w:val="Strong"/>
          <w:rFonts w:cs="Arial" w:ascii="Arial" w:hAnsi="Arial"/>
          <w:sz w:val="22"/>
          <w:szCs w:val="22"/>
        </w:rPr>
        <w:t>15 salas de aula</w:t>
      </w:r>
    </w:p>
    <w:p>
      <w:pPr>
        <w:pStyle w:val="NormalWeb"/>
        <w:numPr>
          <w:ilvl w:val="0"/>
          <w:numId w:val="4"/>
        </w:numPr>
        <w:suppressAutoHyphens w:val="false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 salão memorial com </w:t>
      </w:r>
      <w:r>
        <w:rPr>
          <w:rStyle w:val="Strong"/>
          <w:rFonts w:cs="Arial" w:ascii="Arial" w:hAnsi="Arial"/>
          <w:sz w:val="22"/>
          <w:szCs w:val="22"/>
        </w:rPr>
        <w:t>2 salas</w:t>
      </w:r>
    </w:p>
    <w:p>
      <w:pPr>
        <w:pStyle w:val="NormalWeb"/>
        <w:numPr>
          <w:ilvl w:val="0"/>
          <w:numId w:val="4"/>
        </w:numPr>
        <w:suppressAutoHyphens w:val="false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 copa</w:t>
      </w:r>
    </w:p>
    <w:p>
      <w:pPr>
        <w:pStyle w:val="NormalWeb"/>
        <w:numPr>
          <w:ilvl w:val="0"/>
          <w:numId w:val="4"/>
        </w:numPr>
        <w:suppressAutoHyphens w:val="false"/>
        <w:spacing w:before="0" w:after="10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 pequeno salão</w:t>
      </w:r>
    </w:p>
    <w:p>
      <w:pPr>
        <w:pStyle w:val="Heading4"/>
        <w:rPr>
          <w:rFonts w:ascii="Arial" w:hAnsi="Arial" w:cs="Arial"/>
        </w:rPr>
      </w:pPr>
      <w:r>
        <w:rPr>
          <w:rStyle w:val="Strong"/>
          <w:rFonts w:cs="Arial" w:ascii="Arial" w:hAnsi="Arial"/>
          <w:b w:val="false"/>
          <w:bCs w:val="false"/>
        </w:rPr>
        <w:t>Segundo andar:</w:t>
      </w:r>
    </w:p>
    <w:p>
      <w:pPr>
        <w:pStyle w:val="NormalWeb"/>
        <w:numPr>
          <w:ilvl w:val="0"/>
          <w:numId w:val="5"/>
        </w:numPr>
        <w:suppressAutoHyphens w:val="false"/>
        <w:spacing w:before="100" w:after="0"/>
        <w:rPr>
          <w:rFonts w:ascii="Arial" w:hAnsi="Arial" w:cs="Arial"/>
          <w:sz w:val="22"/>
          <w:szCs w:val="22"/>
        </w:rPr>
      </w:pPr>
      <w:r>
        <w:rPr>
          <w:rStyle w:val="Strong"/>
          <w:rFonts w:cs="Arial" w:ascii="Arial" w:hAnsi="Arial"/>
          <w:sz w:val="22"/>
          <w:szCs w:val="22"/>
        </w:rPr>
        <w:t>13 salas de aula</w:t>
      </w:r>
    </w:p>
    <w:p>
      <w:pPr>
        <w:pStyle w:val="NormalWeb"/>
        <w:numPr>
          <w:ilvl w:val="0"/>
          <w:numId w:val="5"/>
        </w:numPr>
        <w:suppressAutoHyphens w:val="false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 copa</w:t>
      </w:r>
    </w:p>
    <w:p>
      <w:pPr>
        <w:pStyle w:val="NormalWeb"/>
        <w:numPr>
          <w:ilvl w:val="0"/>
          <w:numId w:val="5"/>
        </w:numPr>
        <w:suppressAutoHyphens w:val="false"/>
        <w:spacing w:before="0" w:after="100"/>
        <w:rPr>
          <w:rFonts w:ascii="Arial" w:hAnsi="Arial" w:cs="Arial"/>
          <w:sz w:val="22"/>
          <w:szCs w:val="22"/>
        </w:rPr>
      </w:pPr>
      <w:r>
        <w:rPr>
          <w:rStyle w:val="Strong"/>
          <w:rFonts w:cs="Arial" w:ascii="Arial" w:hAnsi="Arial"/>
          <w:sz w:val="22"/>
          <w:szCs w:val="22"/>
        </w:rPr>
        <w:t>6 salas</w:t>
      </w:r>
      <w:r>
        <w:rPr>
          <w:rFonts w:cs="Arial" w:ascii="Arial" w:hAnsi="Arial"/>
          <w:sz w:val="22"/>
          <w:szCs w:val="22"/>
        </w:rPr>
        <w:t xml:space="preserve">, incluindo a </w:t>
      </w:r>
      <w:r>
        <w:rPr>
          <w:rStyle w:val="Strong"/>
          <w:rFonts w:cs="Arial" w:ascii="Arial" w:hAnsi="Arial"/>
          <w:sz w:val="22"/>
          <w:szCs w:val="22"/>
        </w:rPr>
        <w:t>sala da presidência</w:t>
      </w:r>
    </w:p>
    <w:p>
      <w:pPr>
        <w:pStyle w:val="Heading4"/>
        <w:rPr>
          <w:rFonts w:ascii="Arial" w:hAnsi="Arial" w:cs="Arial"/>
        </w:rPr>
      </w:pPr>
      <w:r>
        <w:rPr>
          <w:rStyle w:val="Strong"/>
          <w:rFonts w:cs="Arial" w:ascii="Arial" w:hAnsi="Arial"/>
          <w:b w:val="false"/>
          <w:bCs w:val="false"/>
        </w:rPr>
        <w:t>Terceiro andar:</w:t>
      </w:r>
    </w:p>
    <w:p>
      <w:pPr>
        <w:pStyle w:val="NormalWeb"/>
        <w:numPr>
          <w:ilvl w:val="0"/>
          <w:numId w:val="6"/>
        </w:numPr>
        <w:suppressAutoHyphens w:val="false"/>
        <w:spacing w:before="10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 </w:t>
      </w:r>
      <w:r>
        <w:rPr>
          <w:rStyle w:val="Strong"/>
          <w:rFonts w:cs="Arial" w:ascii="Arial" w:hAnsi="Arial"/>
          <w:sz w:val="22"/>
          <w:szCs w:val="22"/>
        </w:rPr>
        <w:t>refeitório</w:t>
      </w:r>
      <w:r>
        <w:rPr>
          <w:rFonts w:cs="Arial" w:ascii="Arial" w:hAnsi="Arial"/>
          <w:sz w:val="22"/>
          <w:szCs w:val="22"/>
        </w:rPr>
        <w:t xml:space="preserve"> com capacidade para </w:t>
      </w:r>
      <w:r>
        <w:rPr>
          <w:rStyle w:val="Strong"/>
          <w:rFonts w:cs="Arial" w:ascii="Arial" w:hAnsi="Arial"/>
          <w:sz w:val="22"/>
          <w:szCs w:val="22"/>
        </w:rPr>
        <w:t>90 pessoas</w:t>
      </w:r>
    </w:p>
    <w:p>
      <w:pPr>
        <w:pStyle w:val="NormalWeb"/>
        <w:numPr>
          <w:ilvl w:val="0"/>
          <w:numId w:val="6"/>
        </w:numPr>
        <w:suppressAutoHyphens w:val="false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1 copa</w:t>
      </w:r>
    </w:p>
    <w:p>
      <w:pPr>
        <w:pStyle w:val="NormalWeb"/>
        <w:numPr>
          <w:ilvl w:val="0"/>
          <w:numId w:val="6"/>
        </w:numPr>
        <w:suppressAutoHyphens w:val="false"/>
        <w:spacing w:before="0" w:after="10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 área descoberta 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40" w:beforeAutospacing="1" w:afterAutospacing="1"/>
        <w:outlineLvl w:val="2"/>
        <w:rPr>
          <w:rFonts w:ascii="Arial" w:hAnsi="Arial" w:eastAsia="Times New Roman" w:cs="Arial"/>
          <w:b/>
          <w:bCs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Características da área construída:</w:t>
      </w:r>
    </w:p>
    <w:p>
      <w:pPr>
        <w:pStyle w:val="Normal"/>
        <w:numPr>
          <w:ilvl w:val="0"/>
          <w:numId w:val="7"/>
        </w:numPr>
        <w:suppressAutoHyphens w:val="false"/>
        <w:spacing w:lineRule="auto" w:line="240" w:beforeAutospacing="1" w:after="0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25 banheiros</w:t>
      </w:r>
      <w:r>
        <w:rPr>
          <w:rFonts w:eastAsia="Times New Roman" w:cs="Arial" w:ascii="Arial" w:hAnsi="Arial"/>
          <w:lang w:eastAsia="pt-BR"/>
        </w:rPr>
        <w:t xml:space="preserve">, sendo </w:t>
      </w:r>
      <w:r>
        <w:rPr>
          <w:rFonts w:eastAsia="Times New Roman" w:cs="Arial" w:ascii="Arial" w:hAnsi="Arial"/>
          <w:b/>
          <w:bCs/>
          <w:lang w:eastAsia="pt-BR"/>
        </w:rPr>
        <w:t>12 coletivos</w:t>
      </w:r>
    </w:p>
    <w:p>
      <w:pPr>
        <w:pStyle w:val="Normal"/>
        <w:numPr>
          <w:ilvl w:val="0"/>
          <w:numId w:val="7"/>
        </w:numPr>
        <w:suppressAutoHyphens w:val="false"/>
        <w:spacing w:lineRule="auto" w:line="240" w:before="0" w:after="0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2 elevadores</w:t>
      </w:r>
    </w:p>
    <w:p>
      <w:pPr>
        <w:pStyle w:val="Normal"/>
        <w:numPr>
          <w:ilvl w:val="0"/>
          <w:numId w:val="7"/>
        </w:numPr>
        <w:suppressAutoHyphens w:val="false"/>
        <w:spacing w:lineRule="auto" w:line="240" w:before="0" w:after="0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  <w:t>Estacionamento:</w:t>
      </w:r>
    </w:p>
    <w:p>
      <w:pPr>
        <w:pStyle w:val="Normal"/>
        <w:numPr>
          <w:ilvl w:val="1"/>
          <w:numId w:val="7"/>
        </w:numPr>
        <w:suppressAutoHyphens w:val="false"/>
        <w:spacing w:lineRule="auto" w:line="240" w:before="0" w:after="0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Coberto</w:t>
      </w:r>
      <w:r>
        <w:rPr>
          <w:rFonts w:eastAsia="Times New Roman" w:cs="Arial" w:ascii="Arial" w:hAnsi="Arial"/>
          <w:lang w:eastAsia="pt-BR"/>
        </w:rPr>
        <w:t xml:space="preserve">: capacidade para </w:t>
      </w:r>
      <w:r>
        <w:rPr>
          <w:rFonts w:eastAsia="Times New Roman" w:cs="Arial" w:ascii="Arial" w:hAnsi="Arial"/>
          <w:b/>
          <w:bCs/>
          <w:lang w:eastAsia="pt-BR"/>
        </w:rPr>
        <w:t>20 veículos</w:t>
      </w:r>
    </w:p>
    <w:p>
      <w:pPr>
        <w:pStyle w:val="Normal"/>
        <w:numPr>
          <w:ilvl w:val="1"/>
          <w:numId w:val="7"/>
        </w:numPr>
        <w:suppressAutoHyphens w:val="false"/>
        <w:spacing w:lineRule="auto" w:line="240" w:before="0" w:afterAutospacing="1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Descoberto (área externa)</w:t>
      </w:r>
      <w:r>
        <w:rPr>
          <w:rFonts w:eastAsia="Times New Roman" w:cs="Arial" w:ascii="Arial" w:hAnsi="Arial"/>
          <w:lang w:eastAsia="pt-BR"/>
        </w:rPr>
        <w:t xml:space="preserve">: capacidade para </w:t>
      </w:r>
      <w:r>
        <w:rPr>
          <w:rFonts w:eastAsia="Times New Roman" w:cs="Arial" w:ascii="Arial" w:hAnsi="Arial"/>
          <w:b/>
          <w:bCs/>
          <w:lang w:eastAsia="pt-BR"/>
        </w:rPr>
        <w:t>30 veículos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40" w:beforeAutospacing="1" w:afterAutospacing="1"/>
        <w:outlineLvl w:val="2"/>
        <w:rPr>
          <w:rFonts w:ascii="Arial" w:hAnsi="Arial" w:eastAsia="Times New Roman" w:cs="Arial"/>
          <w:b/>
          <w:bCs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 xml:space="preserve"> </w:t>
      </w:r>
      <w:r>
        <w:rPr>
          <w:rFonts w:eastAsia="Times New Roman" w:cs="Arial" w:ascii="Arial" w:hAnsi="Arial"/>
          <w:b/>
          <w:bCs/>
          <w:lang w:eastAsia="pt-BR"/>
        </w:rPr>
        <w:t>Classificação do imóvel:</w:t>
      </w:r>
    </w:p>
    <w:p>
      <w:pPr>
        <w:pStyle w:val="Normal"/>
        <w:numPr>
          <w:ilvl w:val="0"/>
          <w:numId w:val="8"/>
        </w:numPr>
        <w:suppressAutoHyphens w:val="false"/>
        <w:spacing w:lineRule="auto" w:line="240" w:beforeAutospacing="1" w:after="0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Tipo:</w:t>
      </w:r>
      <w:r>
        <w:rPr>
          <w:rFonts w:eastAsia="Times New Roman" w:cs="Arial" w:ascii="Arial" w:hAnsi="Arial"/>
          <w:lang w:eastAsia="pt-BR"/>
        </w:rPr>
        <w:t xml:space="preserve"> Não residencial</w:t>
      </w:r>
    </w:p>
    <w:p>
      <w:pPr>
        <w:pStyle w:val="Normal"/>
        <w:numPr>
          <w:ilvl w:val="0"/>
          <w:numId w:val="8"/>
        </w:numPr>
        <w:suppressAutoHyphens w:val="false"/>
        <w:spacing w:lineRule="auto" w:line="240" w:before="0" w:after="0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Localização:</w:t>
      </w:r>
      <w:r>
        <w:rPr>
          <w:rFonts w:eastAsia="Times New Roman" w:cs="Arial" w:ascii="Arial" w:hAnsi="Arial"/>
          <w:lang w:eastAsia="pt-BR"/>
        </w:rPr>
        <w:t xml:space="preserve"> Zona Homogênea </w:t>
      </w:r>
      <w:r>
        <w:rPr>
          <w:rFonts w:eastAsia="Times New Roman" w:cs="Arial" w:ascii="Arial" w:hAnsi="Arial"/>
          <w:b/>
          <w:bCs/>
          <w:lang w:eastAsia="pt-BR"/>
        </w:rPr>
        <w:t>NT302</w:t>
      </w:r>
    </w:p>
    <w:p>
      <w:pPr>
        <w:pStyle w:val="Normal"/>
        <w:numPr>
          <w:ilvl w:val="0"/>
          <w:numId w:val="8"/>
        </w:numPr>
        <w:suppressAutoHyphens w:val="false"/>
        <w:spacing w:lineRule="auto" w:line="240" w:before="0" w:afterAutospacing="1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Padrão de acabamento:</w:t>
      </w:r>
      <w:r>
        <w:rPr>
          <w:rFonts w:eastAsia="Times New Roman" w:cs="Arial" w:ascii="Arial" w:hAnsi="Arial"/>
          <w:lang w:eastAsia="pt-BR"/>
        </w:rPr>
        <w:t xml:space="preserve"> </w:t>
      </w:r>
      <w:r>
        <w:rPr>
          <w:rFonts w:eastAsia="Times New Roman" w:cs="Arial" w:ascii="Arial" w:hAnsi="Arial"/>
          <w:b/>
          <w:bCs/>
          <w:lang w:eastAsia="pt-BR"/>
        </w:rPr>
        <w:t>L1/P4</w:t>
      </w:r>
      <w:r>
        <w:rPr>
          <w:rFonts w:eastAsia="Times New Roman" w:cs="Arial" w:ascii="Arial" w:hAnsi="Arial"/>
          <w:lang w:eastAsia="pt-BR"/>
        </w:rPr>
        <w:br/>
      </w:r>
      <w:r>
        <w:rPr>
          <w:rFonts w:eastAsia="Times New Roman" w:cs="Arial" w:ascii="Arial" w:hAnsi="Arial"/>
          <w:i/>
          <w:iCs/>
          <w:lang w:eastAsia="pt-BR"/>
        </w:rPr>
        <w:t>(conforme cadastro do IPTU da Prefeitura de Belo Horizonte)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40" w:beforeAutospacing="1" w:afterAutospacing="1"/>
        <w:outlineLvl w:val="2"/>
        <w:rPr>
          <w:rFonts w:ascii="Arial" w:hAnsi="Arial" w:eastAsia="Times New Roman" w:cs="Arial"/>
          <w:b/>
          <w:bCs/>
          <w:lang w:eastAsia="pt-BR"/>
        </w:rPr>
      </w:pPr>
      <w:r>
        <w:rPr>
          <w:rFonts w:eastAsia="Times New Roman" w:cs="Segoe UI Symbol" w:ascii="Segoe UI Symbol" w:hAnsi="Segoe UI Symbol"/>
          <w:b/>
          <w:bCs/>
          <w:lang w:eastAsia="pt-BR"/>
        </w:rPr>
        <w:t>💰</w:t>
      </w:r>
      <w:r>
        <w:rPr>
          <w:rFonts w:eastAsia="Times New Roman" w:cs="Arial" w:ascii="Arial" w:hAnsi="Arial"/>
          <w:b/>
          <w:bCs/>
          <w:lang w:eastAsia="pt-BR"/>
        </w:rPr>
        <w:t xml:space="preserve"> </w:t>
      </w:r>
      <w:r>
        <w:rPr>
          <w:rFonts w:eastAsia="Times New Roman" w:cs="Arial" w:ascii="Arial" w:hAnsi="Arial"/>
          <w:b/>
          <w:bCs/>
          <w:lang w:eastAsia="pt-BR"/>
        </w:rPr>
        <w:t>Avaliação do imóvel:</w:t>
      </w:r>
    </w:p>
    <w:p>
      <w:pPr>
        <w:pStyle w:val="Normal"/>
        <w:numPr>
          <w:ilvl w:val="0"/>
          <w:numId w:val="9"/>
        </w:numPr>
        <w:suppressAutoHyphens w:val="false"/>
        <w:spacing w:lineRule="auto" w:line="240" w:beforeAutospacing="1" w:afterAutospacing="1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lang w:eastAsia="pt-BR"/>
        </w:rPr>
        <w:t xml:space="preserve">Valor: </w:t>
      </w:r>
      <w:r>
        <w:rPr>
          <w:rFonts w:ascii="AAAUOQå¼«OpenSans" w:hAnsi="AAAUOQå¼«OpenSans"/>
          <w:b/>
          <w:bCs/>
          <w:color w:val="000000"/>
          <w:sz w:val="24"/>
          <w:szCs w:val="24"/>
        </w:rPr>
        <w:t>R$25.864.975,52</w:t>
      </w:r>
      <w:r>
        <w:rPr>
          <w:rFonts w:eastAsia="Times New Roman" w:cs="Arial" w:ascii="Arial" w:hAnsi="Arial"/>
          <w:lang w:eastAsia="pt-BR"/>
        </w:rPr>
        <w:br/>
      </w:r>
      <w:r>
        <w:rPr>
          <w:rFonts w:eastAsia="Times New Roman" w:cs="Arial" w:ascii="Arial" w:hAnsi="Arial"/>
          <w:i/>
          <w:iCs/>
          <w:lang w:eastAsia="pt-BR"/>
        </w:rPr>
        <w:t>(</w:t>
      </w:r>
      <w:r>
        <w:rPr>
          <w:rFonts w:eastAsia="Times New Roman" w:cs="Arial" w:ascii="Arial" w:hAnsi="Arial"/>
          <w:i/>
          <w:iCs/>
          <w:lang w:eastAsia="pt-BR"/>
        </w:rPr>
        <w:t>Vinte e cinco milhões, oitocentos  e sessenta e quatro mil, novecentos e setenta e cinco reais e cinquenta e dois centavos</w:t>
      </w:r>
      <w:r>
        <w:rPr>
          <w:rFonts w:eastAsia="Times New Roman" w:cs="Arial" w:ascii="Arial" w:hAnsi="Arial"/>
          <w:i/>
          <w:iCs/>
          <w:lang w:eastAsia="pt-BR"/>
        </w:rPr>
        <w:t xml:space="preserve">). </w:t>
      </w:r>
    </w:p>
    <w:p>
      <w:pPr>
        <w:pStyle w:val="NormalWeb"/>
        <w:spacing w:before="280" w:after="28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CONDIÇÕES GERAIS 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 leilão estará a cargo do leiloeiro oficial </w:t>
      </w:r>
      <w:r>
        <w:rPr>
          <w:rFonts w:cs="Arial" w:ascii="Arial" w:hAnsi="Arial"/>
          <w:b/>
          <w:bCs/>
        </w:rPr>
        <w:t>Arnaldo Emílio Colombarolli</w:t>
      </w:r>
      <w:r>
        <w:rPr>
          <w:rFonts w:cs="Arial" w:ascii="Arial" w:hAnsi="Arial"/>
        </w:rPr>
        <w:t>, matrícula Jucemg nº 813 (</w:t>
      </w:r>
      <w:hyperlink r:id="rId2" w:tgtFrame="_new">
        <w:r>
          <w:rPr>
            <w:rStyle w:val="Hyperlink"/>
            <w:rFonts w:cs="Arial" w:ascii="Arial" w:hAnsi="Arial"/>
          </w:rPr>
          <w:t>www.arnaldoleiloes.com.br</w:t>
        </w:r>
      </w:hyperlink>
      <w:r>
        <w:rPr>
          <w:rFonts w:cs="Arial" w:ascii="Arial" w:hAnsi="Arial"/>
        </w:rPr>
        <w:t>), a ser realizado no local, data e horário acima especificados.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57"/>
        <w:jc w:val="both"/>
        <w:rPr>
          <w:rFonts w:ascii="Arial" w:hAnsi="Arial" w:eastAsia="SimSun" w:cs="Arial"/>
          <w:bCs/>
          <w:shd w:fill="FEFFFE" w:val="clear"/>
          <w:lang w:eastAsia="zh-CN" w:bidi="hi-IN"/>
        </w:rPr>
      </w:pPr>
      <w:r>
        <w:rPr>
          <w:rFonts w:cs="Arial" w:ascii="Arial" w:hAnsi="Arial"/>
        </w:rPr>
        <w:t>Juízo</w:t>
      </w:r>
      <w:r>
        <w:rPr>
          <w:rStyle w:val="Strong"/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considera vil o lanço inferior ao percentual de 50% do valor da avaliação, de acordo com o despacho de id n° c88d36a de 08/07/2026.  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b/>
        </w:rPr>
        <w:t>DO PAGAMENTO DA ARREMATAÇÃO:</w:t>
      </w:r>
      <w:r>
        <w:rPr>
          <w:rFonts w:cs="Arial" w:ascii="Arial" w:hAnsi="Arial"/>
        </w:rPr>
        <w:t xml:space="preserve"> O valor da arrematação deverá ser quitado </w:t>
      </w:r>
      <w:r>
        <w:rPr>
          <w:rFonts w:cs="Arial" w:ascii="Arial" w:hAnsi="Arial"/>
          <w:b/>
          <w:bCs/>
        </w:rPr>
        <w:t>preferencialmente à vista</w:t>
      </w:r>
      <w:r>
        <w:rPr>
          <w:rFonts w:cs="Arial" w:ascii="Arial" w:hAnsi="Arial"/>
        </w:rPr>
        <w:t xml:space="preserve">, mediante depósito à disposição do Juízo, conforme o art. 245, §1º do Provimento Geral Consolidado/TRT-3ª Região. 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rPr>
          <w:rFonts w:ascii="Arial" w:hAnsi="Arial" w:cs="Arial"/>
        </w:rPr>
      </w:pPr>
      <w:r>
        <w:rPr>
          <w:rStyle w:val="Strong"/>
          <w:rFonts w:cs="Arial" w:ascii="Arial" w:hAnsi="Arial"/>
          <w:color w:val="000000"/>
        </w:rPr>
        <w:t>PARCELAMENTO: </w:t>
      </w:r>
      <w:r>
        <w:rPr>
          <w:rFonts w:cs="Arial" w:ascii="Arial" w:hAnsi="Arial"/>
          <w:color w:val="000000"/>
        </w:rPr>
        <w:t xml:space="preserve">Os interessados na aquisição do(s) bem(s) penhorado(s) em prestações poderão apresentar por escrito, até o início do primeiro leilão, proposta de aquisição do bem por valor não inferior ao da avaliação e, até o início do segundo leilão, proposta para aquisição por valor não inferior a 50% do valor da avaliação. 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40" w:before="0" w:after="0"/>
        <w:jc w:val="both"/>
        <w:rPr>
          <w:rFonts w:ascii="Arial" w:hAnsi="Arial" w:cs="Arial"/>
        </w:rPr>
      </w:pPr>
      <w:r>
        <w:rPr>
          <w:rFonts w:eastAsia="Times New Roman" w:cs="Arial" w:ascii="Arial" w:hAnsi="Arial"/>
          <w:lang w:eastAsia="pt-BR"/>
        </w:rPr>
        <w:t>A proposta de parcelamento deverá conter, em qualquer hipótese, oferta de pagamento de pelo menos 25% do valor do lance à vista e o restante em até 12 meses, garantido por caução idônea em caso de bens móveis e hipoteca do próprio bem, se tratando de imóveis, devendo, em qualquer caso, conter o prazo, modalidade, indexador de correção monetária e condições de pagamento do saldo, a ser apreciada pelo Juízo.</w:t>
      </w:r>
    </w:p>
    <w:p>
      <w:pPr>
        <w:pStyle w:val="ListParagraph"/>
        <w:numPr>
          <w:ilvl w:val="0"/>
          <w:numId w:val="2"/>
        </w:numPr>
        <w:suppressAutoHyphens w:val="false"/>
        <w:spacing w:lineRule="auto" w:line="240" w:before="0" w:afterAutospacing="1"/>
        <w:contextualSpacing/>
        <w:jc w:val="both"/>
        <w:rPr>
          <w:rFonts w:ascii="Arial" w:hAnsi="Arial" w:cs="Arial"/>
        </w:rPr>
      </w:pPr>
      <w:r>
        <w:rPr>
          <w:rStyle w:val="Strong"/>
          <w:rFonts w:cs="Arial" w:ascii="Arial" w:hAnsi="Arial"/>
        </w:rPr>
        <w:t>Registre-se que a apresentação de proposta de parcelamento por escrito não suspenderá a realização do leilão e será apreciada, oportunamente, pelo Juízo.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numPr>
          <w:ilvl w:val="0"/>
          <w:numId w:val="2"/>
        </w:numPr>
        <w:suppressAutoHyphens w:val="false"/>
        <w:spacing w:lineRule="auto" w:line="257"/>
        <w:jc w:val="both"/>
        <w:rPr>
          <w:rFonts w:ascii="Arial" w:hAnsi="Arial" w:eastAsia="SimSun" w:cs="Arial"/>
          <w:bCs/>
          <w:shd w:fill="FEFFFE" w:val="clear"/>
          <w:lang w:eastAsia="zh-CN" w:bidi="hi-IN"/>
        </w:rPr>
      </w:pPr>
      <w:r>
        <w:rPr>
          <w:rFonts w:cs="Arial" w:ascii="Arial" w:hAnsi="Arial"/>
          <w:b/>
        </w:rPr>
        <w:t>DA REMUNERAÇÃO DO LEILOEIRO:</w:t>
      </w:r>
      <w:r>
        <w:rPr>
          <w:rFonts w:cs="Arial" w:ascii="Arial" w:hAnsi="Arial"/>
        </w:rPr>
        <w:t xml:space="preserve"> A comissão do leiloeiro na proporção de 5% (para bens imóveis) e 10% (para bens móveis), sobre o valor da arrematação, da avaliação no caso de remição se requerida após a praça ou leilão, ou da adjudicação, que será paga pelo arrematante, pelo remitente ou pelo adjudicante, respectivamente, conforme determinado no artigo 245, caput e § 5º do Provimento Geral Consolidado do TRT da 3ª Região - 2015 (PRV GCR/GVCR 3/2015). 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Não será devida </w:t>
      </w:r>
      <w:r>
        <w:rPr>
          <w:rFonts w:cs="Arial" w:ascii="Arial" w:hAnsi="Arial"/>
          <w:b/>
          <w:bCs/>
        </w:rPr>
        <w:t>comissão ao leiloeiro</w:t>
      </w:r>
      <w:r>
        <w:rPr>
          <w:rFonts w:cs="Arial" w:ascii="Arial" w:hAnsi="Arial"/>
        </w:rPr>
        <w:t xml:space="preserve"> na hipótese de desistência de que trata o art. 775/CPC anulação ou ineficácia da arrematação ou resultado negativo do leilão.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Se houver </w:t>
      </w:r>
      <w:r>
        <w:rPr>
          <w:rFonts w:cs="Arial" w:ascii="Arial" w:hAnsi="Arial"/>
          <w:b/>
          <w:bCs/>
        </w:rPr>
        <w:t>acordo ou remição após o leilão</w:t>
      </w:r>
      <w:r>
        <w:rPr>
          <w:rFonts w:cs="Arial" w:ascii="Arial" w:hAnsi="Arial"/>
        </w:rPr>
        <w:t>, o leiloeiro fará jus à comissão, conforme o art. 246, §1º do Provimento Geral Consolidado/TRT-3ª Região.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  <w:color w:val="000000"/>
        </w:rPr>
        <w:t>Em caso de remição ou adjudicação, o leiloeiro será remunerado pelo remitente ou adjudicante, e os valores deverão ser pagos pelo remitente ou pelo adjudicante no ato da remição ou antes da assinatura da carta de adjudicação.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257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 arrematante fica isento dos débitos tributários cujo fato gerador seja a propriedade, o domínio útil ou a posse de bens e direitos adquiridos judicialmente, através de leilão judicial ou iniciativa particular, estejam ou não inscritos na dívida ativa, </w:t>
      </w:r>
      <w:r>
        <w:rPr>
          <w:rFonts w:cs="Arial" w:ascii="Arial" w:hAnsi="Arial"/>
          <w:u w:val="single"/>
        </w:rPr>
        <w:t>bem como que ficarão sub-rogados no bem arrematado os débitos de natureza não tributária que constarem expressamente do edital. 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Os interessados em participar do leilão devem apresentar </w:t>
      </w:r>
      <w:r>
        <w:rPr>
          <w:rFonts w:cs="Arial" w:ascii="Arial" w:hAnsi="Arial"/>
          <w:b/>
          <w:bCs/>
        </w:rPr>
        <w:t>documento de identificação</w:t>
      </w:r>
      <w:r>
        <w:rPr>
          <w:rFonts w:cs="Arial" w:ascii="Arial" w:hAnsi="Arial"/>
        </w:rPr>
        <w:t xml:space="preserve"> (cédula de identidade civil ou CNH, se pessoa física, ou contrato social e cédula de identidade ou CNH do representante legal, se pessoa jurídica).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 arrematante não poderá alegar desconhecimento das condições do leilão ou das características do bem, sendo de sua responsabilidade verificar </w:t>
      </w:r>
      <w:r>
        <w:rPr>
          <w:rFonts w:cs="Arial" w:ascii="Arial" w:hAnsi="Arial"/>
          <w:b/>
          <w:bCs/>
        </w:rPr>
        <w:t>encargos sobre o bem</w:t>
      </w:r>
      <w:r>
        <w:rPr>
          <w:rFonts w:cs="Arial" w:ascii="Arial" w:hAnsi="Arial"/>
        </w:rPr>
        <w:t>, mesmo que não expressos no edital.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O(s) bem(ns) será(ão) </w:t>
      </w:r>
      <w:r>
        <w:rPr>
          <w:rFonts w:cs="Arial" w:ascii="Arial" w:hAnsi="Arial"/>
          <w:b/>
          <w:bCs/>
        </w:rPr>
        <w:t>vendido(s) no estado de conservação em que se encontra(m)</w:t>
      </w:r>
      <w:r>
        <w:rPr>
          <w:rFonts w:cs="Arial" w:ascii="Arial" w:hAnsi="Arial"/>
        </w:rPr>
        <w:t>, sem garantia. É de responsabilidade do interessado verificar as condições do bem.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 valor total da </w:t>
      </w:r>
      <w:r>
        <w:rPr>
          <w:rFonts w:cs="Arial" w:ascii="Arial" w:hAnsi="Arial"/>
          <w:b/>
          <w:bCs/>
        </w:rPr>
        <w:t>arrematação</w:t>
      </w:r>
      <w:r>
        <w:rPr>
          <w:rFonts w:cs="Arial" w:ascii="Arial" w:hAnsi="Arial"/>
        </w:rPr>
        <w:t xml:space="preserve"> deverá ser depositado pelo arrematante no prazo máximo de 24 HORAS </w:t>
      </w:r>
      <w:r>
        <w:rPr>
          <w:rFonts w:cs="Arial" w:ascii="Arial" w:hAnsi="Arial"/>
          <w:b/>
          <w:bCs/>
        </w:rPr>
        <w:t xml:space="preserve"> após o encerramento do leilão</w:t>
      </w:r>
      <w:r>
        <w:rPr>
          <w:rFonts w:cs="Arial" w:ascii="Arial" w:hAnsi="Arial"/>
        </w:rPr>
        <w:t>.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Se houver </w:t>
      </w:r>
      <w:r>
        <w:rPr>
          <w:rFonts w:cs="Arial" w:ascii="Arial" w:hAnsi="Arial"/>
          <w:b/>
          <w:bCs/>
        </w:rPr>
        <w:t>desistência da arrematação</w:t>
      </w:r>
      <w:r>
        <w:rPr>
          <w:rFonts w:cs="Arial" w:ascii="Arial" w:hAnsi="Arial"/>
        </w:rPr>
        <w:t xml:space="preserve"> fora das hipóteses legais, o arrematante poderá ser </w:t>
      </w:r>
      <w:r>
        <w:rPr>
          <w:rFonts w:cs="Arial" w:ascii="Arial" w:hAnsi="Arial"/>
          <w:b/>
          <w:bCs/>
        </w:rPr>
        <w:t>multado</w:t>
      </w:r>
      <w:r>
        <w:rPr>
          <w:rFonts w:cs="Arial" w:ascii="Arial" w:hAnsi="Arial"/>
        </w:rPr>
        <w:t>, além de ter que pagar a comissão do leiloeiro.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 comissão do leiloeiro </w:t>
      </w:r>
      <w:r>
        <w:rPr>
          <w:rFonts w:cs="Arial" w:ascii="Arial" w:hAnsi="Arial"/>
          <w:b/>
          <w:bCs/>
        </w:rPr>
        <w:t>não será devolvida</w:t>
      </w:r>
      <w:r>
        <w:rPr>
          <w:rFonts w:cs="Arial" w:ascii="Arial" w:hAnsi="Arial"/>
        </w:rPr>
        <w:t xml:space="preserve"> se a arrematação for anulada, invalidada ou considerada ineficaz por culpa do arrematante.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Se o valor da </w:t>
      </w:r>
      <w:r>
        <w:rPr>
          <w:rFonts w:cs="Arial" w:ascii="Arial" w:hAnsi="Arial"/>
          <w:b/>
          <w:bCs/>
        </w:rPr>
        <w:t>arrematação</w:t>
      </w:r>
      <w:r>
        <w:rPr>
          <w:rFonts w:cs="Arial" w:ascii="Arial" w:hAnsi="Arial"/>
        </w:rPr>
        <w:t xml:space="preserve"> for superior ao crédito do exequente, a comissão do leiloeiro e as despesas com remoção, guarda e conservação dos bens poderão ser deduzidas do produto da arrematação.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Nos termos do art. 358 do Código Penal, quem impedir ou fraudar a arrematação judicial, afastar concorrentes ou licitantes por violência, ameaça, fraude ou vantagem, estará sujeito a </w:t>
      </w:r>
      <w:r>
        <w:rPr>
          <w:rFonts w:cs="Arial" w:ascii="Arial" w:hAnsi="Arial"/>
          <w:b/>
          <w:bCs/>
        </w:rPr>
        <w:t>pena de detenção de dois meses a um ano</w:t>
      </w:r>
      <w:r>
        <w:rPr>
          <w:rFonts w:cs="Arial" w:ascii="Arial" w:hAnsi="Arial"/>
        </w:rPr>
        <w:t>, ou multa, além da pena correspondente à violência.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Ficam intimadas as </w:t>
      </w:r>
      <w:r>
        <w:rPr>
          <w:rFonts w:cs="Arial" w:ascii="Arial" w:hAnsi="Arial"/>
          <w:b/>
          <w:bCs/>
        </w:rPr>
        <w:t>partes, coproprietários, cônjuges, credores hipotecários, fiduciários e credores com penhoras averbadas</w:t>
      </w:r>
      <w:r>
        <w:rPr>
          <w:rFonts w:cs="Arial" w:ascii="Arial" w:hAnsi="Arial"/>
        </w:rPr>
        <w:t>.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Ficam intimados o(s) </w:t>
      </w:r>
      <w:r>
        <w:rPr>
          <w:rFonts w:cs="Arial" w:ascii="Arial" w:hAnsi="Arial"/>
          <w:b/>
          <w:bCs/>
        </w:rPr>
        <w:t>devedor(es) e/ou depositário(s)</w:t>
      </w:r>
      <w:r>
        <w:rPr>
          <w:rFonts w:cs="Arial" w:ascii="Arial" w:hAnsi="Arial"/>
        </w:rPr>
        <w:t xml:space="preserve"> não localizado(s).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A arrematação será considerada concluída somente após a </w:t>
      </w:r>
      <w:r>
        <w:rPr>
          <w:rFonts w:cs="Arial" w:ascii="Arial" w:hAnsi="Arial"/>
          <w:b/>
          <w:bCs/>
        </w:rPr>
        <w:t>homologação pelo MM Juiz</w:t>
      </w:r>
      <w:r>
        <w:rPr>
          <w:rFonts w:cs="Arial" w:ascii="Arial" w:hAnsi="Arial"/>
        </w:rPr>
        <w:t xml:space="preserve"> da vara competente.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LEIA O EDITAL.</w:t>
      </w:r>
      <w:r>
        <w:rPr>
          <w:rFonts w:cs="Arial" w:ascii="Arial" w:hAnsi="Arial"/>
        </w:rPr>
        <w:t xml:space="preserve"> Em caso de dúvida, o que estiver disposto no edital é o que prevalecerá.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  <w:t>ÔNUS: ANOTAÇÕES AVERBADAS NA MATRÍCULA ATÉ O DIA 12/2024: Observação: O interessado deverá verificar junto ao Cartório de Registro de Imóveis a existência de novas averbações após esta data.</w:t>
      </w:r>
    </w:p>
    <w:p>
      <w:pPr>
        <w:pStyle w:val="NormalWeb"/>
        <w:spacing w:before="280" w:after="28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INDISPONIBILIDADES MATRICULAS:  47.699 – 47.700 – 47.701</w:t>
      </w:r>
    </w:p>
    <w:p>
      <w:pPr>
        <w:pStyle w:val="NormalWeb"/>
        <w:spacing w:before="280" w:after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AV.5</w:t>
      </w:r>
      <w:r>
        <w:rPr>
          <w:rFonts w:cs="Arial" w:ascii="Arial" w:hAnsi="Arial"/>
          <w:sz w:val="22"/>
          <w:szCs w:val="22"/>
        </w:rPr>
        <w:t>– Indisponibilidade de Bens</w:t>
        <w:br/>
      </w:r>
      <w:r>
        <w:rPr>
          <w:rFonts w:cs="Arial" w:ascii="Arial" w:hAnsi="Arial"/>
          <w:b/>
          <w:bCs/>
          <w:sz w:val="22"/>
          <w:szCs w:val="22"/>
        </w:rPr>
        <w:t>Processo nº:</w:t>
      </w:r>
      <w:r>
        <w:rPr>
          <w:rFonts w:cs="Arial" w:ascii="Arial" w:hAnsi="Arial"/>
          <w:sz w:val="22"/>
          <w:szCs w:val="22"/>
        </w:rPr>
        <w:t xml:space="preserve"> 0001326.36.2012.5.03.0011</w:t>
        <w:br/>
      </w:r>
      <w:r>
        <w:rPr>
          <w:rFonts w:cs="Arial" w:ascii="Arial" w:hAnsi="Arial"/>
          <w:b/>
          <w:bCs/>
          <w:sz w:val="22"/>
          <w:szCs w:val="22"/>
        </w:rPr>
        <w:t>Vara do Trabalho:</w:t>
      </w:r>
      <w:r>
        <w:rPr>
          <w:rFonts w:cs="Arial" w:ascii="Arial" w:hAnsi="Arial"/>
          <w:sz w:val="22"/>
          <w:szCs w:val="22"/>
        </w:rPr>
        <w:t xml:space="preserve"> 11ª Vara do Trabalho de Belo Horizonte</w:t>
      </w:r>
    </w:p>
    <w:p>
      <w:pPr>
        <w:pStyle w:val="Normal"/>
        <w:suppressAutoHyphens w:val="false"/>
        <w:spacing w:lineRule="auto" w:line="240" w:beforeAutospacing="1" w:afterAutospacing="1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AV.6</w:t>
      </w:r>
      <w:r>
        <w:rPr>
          <w:rFonts w:eastAsia="Times New Roman" w:cs="Arial" w:ascii="Arial" w:hAnsi="Arial"/>
          <w:lang w:eastAsia="pt-BR"/>
        </w:rPr>
        <w:t>– Indisponibilidade de Bens</w:t>
        <w:br/>
      </w:r>
      <w:r>
        <w:rPr>
          <w:rFonts w:eastAsia="Times New Roman" w:cs="Arial" w:ascii="Arial" w:hAnsi="Arial"/>
          <w:b/>
          <w:bCs/>
          <w:lang w:eastAsia="pt-BR"/>
        </w:rPr>
        <w:t>Processo nº:</w:t>
      </w:r>
      <w:r>
        <w:rPr>
          <w:rFonts w:eastAsia="Times New Roman" w:cs="Arial" w:ascii="Arial" w:hAnsi="Arial"/>
          <w:lang w:eastAsia="pt-BR"/>
        </w:rPr>
        <w:t xml:space="preserve"> 0011351.04.2015.5.03.004</w:t>
        <w:br/>
      </w:r>
      <w:r>
        <w:rPr>
          <w:rFonts w:eastAsia="Times New Roman" w:cs="Arial" w:ascii="Arial" w:hAnsi="Arial"/>
          <w:b/>
          <w:bCs/>
          <w:lang w:eastAsia="pt-BR"/>
        </w:rPr>
        <w:t>Vara do Trabalho:</w:t>
      </w:r>
      <w:r>
        <w:rPr>
          <w:rFonts w:eastAsia="Times New Roman" w:cs="Arial" w:ascii="Arial" w:hAnsi="Arial"/>
          <w:lang w:eastAsia="pt-BR"/>
        </w:rPr>
        <w:t xml:space="preserve"> 2° Vara do Trabalho de Uberlândia/MG</w:t>
      </w:r>
    </w:p>
    <w:p>
      <w:pPr>
        <w:pStyle w:val="Normal"/>
        <w:suppressAutoHyphens w:val="false"/>
        <w:spacing w:lineRule="auto" w:line="240" w:beforeAutospacing="1" w:afterAutospacing="1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AV.7</w:t>
      </w:r>
      <w:r>
        <w:rPr>
          <w:rFonts w:eastAsia="Times New Roman" w:cs="Arial" w:ascii="Arial" w:hAnsi="Arial"/>
          <w:lang w:eastAsia="pt-BR"/>
        </w:rPr>
        <w:t>– Indisponibilidade de Bens</w:t>
        <w:br/>
      </w:r>
      <w:r>
        <w:rPr>
          <w:rFonts w:eastAsia="Times New Roman" w:cs="Arial" w:ascii="Arial" w:hAnsi="Arial"/>
          <w:b/>
          <w:bCs/>
          <w:lang w:eastAsia="pt-BR"/>
        </w:rPr>
        <w:t>Processo nº:</w:t>
      </w:r>
      <w:r>
        <w:rPr>
          <w:rFonts w:eastAsia="Times New Roman" w:cs="Arial" w:ascii="Arial" w:hAnsi="Arial"/>
          <w:lang w:eastAsia="pt-BR"/>
        </w:rPr>
        <w:t xml:space="preserve"> 0010688.82.2019.5.03.0022</w:t>
        <w:br/>
      </w:r>
      <w:r>
        <w:rPr>
          <w:rFonts w:eastAsia="Times New Roman" w:cs="Arial" w:ascii="Arial" w:hAnsi="Arial"/>
          <w:b/>
          <w:bCs/>
          <w:lang w:eastAsia="pt-BR"/>
        </w:rPr>
        <w:t>Vara do Trabalho:</w:t>
      </w:r>
      <w:r>
        <w:rPr>
          <w:rFonts w:eastAsia="Times New Roman" w:cs="Arial" w:ascii="Arial" w:hAnsi="Arial"/>
          <w:lang w:eastAsia="pt-BR"/>
        </w:rPr>
        <w:t xml:space="preserve"> 22° Vara do Trabalho de Belo Horizonte/MG</w:t>
      </w:r>
    </w:p>
    <w:p>
      <w:pPr>
        <w:pStyle w:val="NoSpacing"/>
        <w:rPr>
          <w:rFonts w:ascii="Arial" w:hAnsi="Arial" w:cs="Arial"/>
          <w:lang w:eastAsia="pt-BR"/>
        </w:rPr>
      </w:pPr>
      <w:r>
        <w:rPr>
          <w:rFonts w:cs="Arial" w:ascii="Arial" w:hAnsi="Arial"/>
          <w:b/>
          <w:bCs/>
          <w:lang w:eastAsia="pt-BR"/>
        </w:rPr>
        <w:t>AV.8-</w:t>
      </w:r>
      <w:r>
        <w:rPr>
          <w:rFonts w:cs="Arial" w:ascii="Arial" w:hAnsi="Arial"/>
          <w:lang w:eastAsia="pt-BR"/>
        </w:rPr>
        <w:t xml:space="preserve"> Indisponibilidade de Bens</w:t>
        <w:br/>
      </w:r>
      <w:r>
        <w:rPr>
          <w:rFonts w:cs="Arial" w:ascii="Arial" w:hAnsi="Arial"/>
          <w:b/>
          <w:bCs/>
          <w:lang w:eastAsia="pt-BR"/>
        </w:rPr>
        <w:t>Processo nº:</w:t>
      </w:r>
      <w:r>
        <w:rPr>
          <w:rFonts w:cs="Arial" w:ascii="Arial" w:hAnsi="Arial"/>
          <w:lang w:eastAsia="pt-BR"/>
        </w:rPr>
        <w:t xml:space="preserve"> 0010925.86.2018.5.03.0108</w:t>
      </w:r>
    </w:p>
    <w:p>
      <w:pPr>
        <w:pStyle w:val="NoSpacing"/>
        <w:rPr>
          <w:rFonts w:ascii="Arial" w:hAnsi="Arial" w:cs="Arial"/>
          <w:lang w:eastAsia="pt-BR"/>
        </w:rPr>
      </w:pPr>
      <w:r>
        <w:rPr>
          <w:rFonts w:cs="Arial" w:ascii="Arial" w:hAnsi="Arial"/>
          <w:b/>
          <w:bCs/>
          <w:lang w:eastAsia="pt-BR"/>
        </w:rPr>
        <w:t>Vara do Trabalho:</w:t>
      </w:r>
      <w:r>
        <w:rPr>
          <w:rFonts w:cs="Arial" w:ascii="Arial" w:hAnsi="Arial"/>
          <w:lang w:eastAsia="pt-BR"/>
        </w:rPr>
        <w:t xml:space="preserve"> 29° Vara do Trabalho de Belo Horizonte/MG</w:t>
      </w:r>
    </w:p>
    <w:p>
      <w:pPr>
        <w:pStyle w:val="Normal"/>
        <w:suppressAutoHyphens w:val="false"/>
        <w:spacing w:lineRule="auto" w:line="240" w:beforeAutospacing="1" w:afterAutospacing="1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AV.9</w:t>
      </w:r>
      <w:r>
        <w:rPr>
          <w:rFonts w:eastAsia="Times New Roman" w:cs="Arial" w:ascii="Arial" w:hAnsi="Arial"/>
          <w:lang w:eastAsia="pt-BR"/>
        </w:rPr>
        <w:t xml:space="preserve"> – Indisponibilidade de Bens</w:t>
        <w:br/>
      </w:r>
      <w:r>
        <w:rPr>
          <w:rFonts w:eastAsia="Times New Roman" w:cs="Arial" w:ascii="Arial" w:hAnsi="Arial"/>
          <w:b/>
          <w:bCs/>
          <w:lang w:eastAsia="pt-BR"/>
        </w:rPr>
        <w:t>Processo nº:</w:t>
      </w:r>
      <w:r>
        <w:rPr>
          <w:rFonts w:eastAsia="Times New Roman" w:cs="Arial" w:ascii="Arial" w:hAnsi="Arial"/>
          <w:lang w:eastAsia="pt-BR"/>
        </w:rPr>
        <w:t xml:space="preserve"> 0010466.44.2019.5.03.0110</w:t>
        <w:br/>
      </w:r>
      <w:r>
        <w:rPr>
          <w:rFonts w:eastAsia="Times New Roman" w:cs="Arial" w:ascii="Arial" w:hAnsi="Arial"/>
          <w:b/>
          <w:bCs/>
          <w:lang w:eastAsia="pt-BR"/>
        </w:rPr>
        <w:t>Vara do Trabalho:</w:t>
      </w:r>
      <w:r>
        <w:rPr>
          <w:rFonts w:eastAsia="Times New Roman" w:cs="Arial" w:ascii="Arial" w:hAnsi="Arial"/>
          <w:lang w:eastAsia="pt-BR"/>
        </w:rPr>
        <w:t xml:space="preserve"> 31° Vara do Trabalho de Belo Horizonte/MG</w:t>
      </w:r>
    </w:p>
    <w:p>
      <w:pPr>
        <w:pStyle w:val="Normal"/>
        <w:suppressAutoHyphens w:val="false"/>
        <w:spacing w:lineRule="auto" w:line="240" w:beforeAutospacing="1" w:afterAutospacing="1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AV.10</w:t>
      </w:r>
      <w:r>
        <w:rPr>
          <w:rFonts w:eastAsia="Times New Roman" w:cs="Arial" w:ascii="Arial" w:hAnsi="Arial"/>
          <w:lang w:eastAsia="pt-BR"/>
        </w:rPr>
        <w:t xml:space="preserve"> – Cancelamento de Indisponibilidade (referente à AV.6)</w:t>
        <w:br/>
      </w:r>
      <w:r>
        <w:rPr>
          <w:rFonts w:eastAsia="Times New Roman" w:cs="Arial" w:ascii="Arial" w:hAnsi="Arial"/>
          <w:b/>
          <w:bCs/>
          <w:lang w:eastAsia="pt-BR"/>
        </w:rPr>
        <w:t>Processo nº:</w:t>
      </w:r>
      <w:r>
        <w:rPr>
          <w:rFonts w:eastAsia="Times New Roman" w:cs="Arial" w:ascii="Arial" w:hAnsi="Arial"/>
          <w:lang w:eastAsia="pt-BR"/>
        </w:rPr>
        <w:t xml:space="preserve"> 0011351-04.2015.5.03.0004</w:t>
        <w:br/>
      </w:r>
      <w:r>
        <w:rPr>
          <w:rFonts w:eastAsia="Times New Roman" w:cs="Arial" w:ascii="Arial" w:hAnsi="Arial"/>
          <w:b/>
          <w:bCs/>
          <w:lang w:eastAsia="pt-BR"/>
        </w:rPr>
        <w:t>Vara do Trabalho:</w:t>
      </w:r>
      <w:r>
        <w:rPr>
          <w:rFonts w:eastAsia="Times New Roman" w:cs="Arial" w:ascii="Arial" w:hAnsi="Arial"/>
          <w:lang w:eastAsia="pt-BR"/>
        </w:rPr>
        <w:t xml:space="preserve"> 2ª Vara do Trabalho de Uberlândia/MG</w:t>
      </w:r>
    </w:p>
    <w:p>
      <w:pPr>
        <w:pStyle w:val="Normal"/>
        <w:suppressAutoHyphens w:val="false"/>
        <w:spacing w:lineRule="auto" w:line="240" w:beforeAutospacing="1" w:afterAutospacing="1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AV.11</w:t>
      </w:r>
      <w:r>
        <w:rPr>
          <w:rFonts w:eastAsia="Times New Roman" w:cs="Arial" w:ascii="Arial" w:hAnsi="Arial"/>
          <w:lang w:eastAsia="pt-BR"/>
        </w:rPr>
        <w:t xml:space="preserve"> – Indisponibilidade de Bens</w:t>
        <w:br/>
      </w:r>
      <w:r>
        <w:rPr>
          <w:rFonts w:eastAsia="Times New Roman" w:cs="Arial" w:ascii="Arial" w:hAnsi="Arial"/>
          <w:b/>
          <w:bCs/>
          <w:lang w:eastAsia="pt-BR"/>
        </w:rPr>
        <w:t>Processo nº:</w:t>
      </w:r>
      <w:r>
        <w:rPr>
          <w:rFonts w:eastAsia="Times New Roman" w:cs="Arial" w:ascii="Arial" w:hAnsi="Arial"/>
          <w:lang w:eastAsia="pt-BR"/>
        </w:rPr>
        <w:t xml:space="preserve"> 0010397-22.2019.5.03.0130</w:t>
        <w:br/>
      </w:r>
      <w:r>
        <w:rPr>
          <w:rFonts w:eastAsia="Times New Roman" w:cs="Arial" w:ascii="Arial" w:hAnsi="Arial"/>
          <w:b/>
          <w:bCs/>
          <w:lang w:eastAsia="pt-BR"/>
        </w:rPr>
        <w:t>Vara do Trabalho:</w:t>
      </w:r>
      <w:r>
        <w:rPr>
          <w:rFonts w:eastAsia="Times New Roman" w:cs="Arial" w:ascii="Arial" w:hAnsi="Arial"/>
          <w:lang w:eastAsia="pt-BR"/>
        </w:rPr>
        <w:t xml:space="preserve"> 39ª Vara do Trabalho de Belo Horizonte/MG</w:t>
      </w:r>
    </w:p>
    <w:p>
      <w:pPr>
        <w:pStyle w:val="Normal"/>
        <w:suppressAutoHyphens w:val="false"/>
        <w:spacing w:lineRule="auto" w:line="240" w:beforeAutospacing="1" w:afterAutospacing="1"/>
        <w:rPr>
          <w:rFonts w:ascii="Arial" w:hAnsi="Arial" w:eastAsia="Times New Roman" w:cs="Arial"/>
          <w:b/>
          <w:bCs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R.12</w:t>
      </w:r>
      <w:r>
        <w:rPr>
          <w:rFonts w:eastAsia="Times New Roman" w:cs="Arial" w:ascii="Arial" w:hAnsi="Arial"/>
          <w:lang w:eastAsia="pt-BR"/>
        </w:rPr>
        <w:t xml:space="preserve"> – Penhora</w:t>
        <w:br/>
      </w:r>
      <w:r>
        <w:rPr>
          <w:rFonts w:eastAsia="Times New Roman" w:cs="Arial" w:ascii="Arial" w:hAnsi="Arial"/>
          <w:b/>
          <w:bCs/>
          <w:lang w:eastAsia="pt-BR"/>
        </w:rPr>
        <w:t>Processo nº:</w:t>
      </w:r>
      <w:r>
        <w:rPr>
          <w:rFonts w:eastAsia="Times New Roman" w:cs="Arial" w:ascii="Arial" w:hAnsi="Arial"/>
          <w:lang w:eastAsia="pt-BR"/>
        </w:rPr>
        <w:t xml:space="preserve"> 5063703-02.2023.8.13.0024</w:t>
        <w:br/>
      </w:r>
      <w:r>
        <w:rPr>
          <w:rFonts w:eastAsia="Times New Roman" w:cs="Arial" w:ascii="Arial" w:hAnsi="Arial"/>
          <w:b/>
          <w:bCs/>
          <w:lang w:eastAsia="pt-BR"/>
        </w:rPr>
        <w:t>Vara:</w:t>
      </w:r>
      <w:r>
        <w:rPr>
          <w:rFonts w:eastAsia="Times New Roman" w:cs="Arial" w:ascii="Arial" w:hAnsi="Arial"/>
          <w:lang w:eastAsia="pt-BR"/>
        </w:rPr>
        <w:t xml:space="preserve"> 7ª Unidade Jurisdicional Cível – 21ª JD da Comarca de Belo Horizonte- EMAIL: </w:t>
      </w:r>
      <w:r>
        <w:rPr>
          <w:rFonts w:cs="Arial" w:ascii="Arial" w:hAnsi="Arial"/>
          <w:b/>
          <w:bCs/>
          <w:color w:val="000000"/>
          <w:shd w:fill="FFFFFF" w:val="clear"/>
        </w:rPr>
        <w:t>jesp8uj@tjmg.jus.br</w:t>
      </w:r>
      <w:r>
        <w:rPr>
          <w:rFonts w:eastAsia="Times New Roman" w:cs="Arial" w:ascii="Arial" w:hAnsi="Arial"/>
          <w:b/>
          <w:bCs/>
          <w:lang w:eastAsia="pt-BR"/>
        </w:rPr>
        <w:t xml:space="preserve"> </w:t>
      </w:r>
    </w:p>
    <w:p>
      <w:pPr>
        <w:pStyle w:val="Normal"/>
        <w:suppressAutoHyphens w:val="false"/>
        <w:spacing w:lineRule="auto" w:line="240" w:beforeAutospacing="1" w:afterAutospacing="1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AV.13</w:t>
      </w:r>
      <w:r>
        <w:rPr>
          <w:rFonts w:eastAsia="Times New Roman" w:cs="Arial" w:ascii="Arial" w:hAnsi="Arial"/>
          <w:lang w:eastAsia="pt-BR"/>
        </w:rPr>
        <w:t xml:space="preserve"> – Indisponibilidade de Bens</w:t>
        <w:br/>
      </w:r>
      <w:r>
        <w:rPr>
          <w:rFonts w:eastAsia="Times New Roman" w:cs="Arial" w:ascii="Arial" w:hAnsi="Arial"/>
          <w:b/>
          <w:bCs/>
          <w:lang w:eastAsia="pt-BR"/>
        </w:rPr>
        <w:t>Processo nº:</w:t>
      </w:r>
      <w:r>
        <w:rPr>
          <w:rFonts w:eastAsia="Times New Roman" w:cs="Arial" w:ascii="Arial" w:hAnsi="Arial"/>
          <w:lang w:eastAsia="pt-BR"/>
        </w:rPr>
        <w:t>00106060620235030018</w:t>
        <w:br/>
      </w:r>
      <w:r>
        <w:rPr>
          <w:rFonts w:eastAsia="Times New Roman" w:cs="Arial" w:ascii="Arial" w:hAnsi="Arial"/>
          <w:b/>
          <w:bCs/>
          <w:lang w:eastAsia="pt-BR"/>
        </w:rPr>
        <w:t>Vara do Trabalho:</w:t>
      </w:r>
      <w:r>
        <w:rPr>
          <w:rFonts w:eastAsia="Times New Roman" w:cs="Arial" w:ascii="Arial" w:hAnsi="Arial"/>
          <w:lang w:eastAsia="pt-BR"/>
        </w:rPr>
        <w:t xml:space="preserve"> 18ª Vara do Trabalho da Capital</w:t>
      </w:r>
    </w:p>
    <w:p>
      <w:pPr>
        <w:pStyle w:val="Normal"/>
        <w:suppressAutoHyphens w:val="false"/>
        <w:spacing w:lineRule="auto" w:line="240" w:beforeAutospacing="1" w:afterAutospacing="1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AV.14</w:t>
      </w:r>
      <w:r>
        <w:rPr>
          <w:rFonts w:eastAsia="Times New Roman" w:cs="Arial" w:ascii="Arial" w:hAnsi="Arial"/>
          <w:lang w:eastAsia="pt-BR"/>
        </w:rPr>
        <w:t xml:space="preserve"> – Indisponibilidade de Bens</w:t>
        <w:br/>
      </w:r>
      <w:r>
        <w:rPr>
          <w:rFonts w:eastAsia="Times New Roman" w:cs="Arial" w:ascii="Arial" w:hAnsi="Arial"/>
          <w:b/>
          <w:bCs/>
          <w:lang w:eastAsia="pt-BR"/>
        </w:rPr>
        <w:t>Processo nº:</w:t>
      </w:r>
      <w:r>
        <w:rPr>
          <w:rFonts w:eastAsia="Times New Roman" w:cs="Arial" w:ascii="Arial" w:hAnsi="Arial"/>
          <w:lang w:eastAsia="pt-BR"/>
        </w:rPr>
        <w:t>00101013620235030017</w:t>
        <w:br/>
      </w:r>
      <w:r>
        <w:rPr>
          <w:rFonts w:eastAsia="Times New Roman" w:cs="Arial" w:ascii="Arial" w:hAnsi="Arial"/>
          <w:b/>
          <w:bCs/>
          <w:lang w:eastAsia="pt-BR"/>
        </w:rPr>
        <w:t>Vara do Trabalho:</w:t>
      </w:r>
      <w:r>
        <w:rPr>
          <w:rFonts w:eastAsia="Times New Roman" w:cs="Arial" w:ascii="Arial" w:hAnsi="Arial"/>
          <w:lang w:eastAsia="pt-BR"/>
        </w:rPr>
        <w:t xml:space="preserve"> 17ª Vara do Trabalho da Capital</w:t>
      </w:r>
    </w:p>
    <w:p>
      <w:pPr>
        <w:pStyle w:val="Normal"/>
        <w:suppressAutoHyphens w:val="false"/>
        <w:spacing w:lineRule="auto" w:line="240" w:beforeAutospacing="1" w:afterAutospacing="1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AV.15</w:t>
      </w:r>
      <w:r>
        <w:rPr>
          <w:rFonts w:eastAsia="Times New Roman" w:cs="Arial" w:ascii="Arial" w:hAnsi="Arial"/>
          <w:lang w:eastAsia="pt-BR"/>
        </w:rPr>
        <w:t xml:space="preserve"> – Indisponibilidade de Bens</w:t>
        <w:br/>
      </w:r>
      <w:r>
        <w:rPr>
          <w:rFonts w:eastAsia="Times New Roman" w:cs="Arial" w:ascii="Arial" w:hAnsi="Arial"/>
          <w:b/>
          <w:bCs/>
          <w:lang w:eastAsia="pt-BR"/>
        </w:rPr>
        <w:t>Processo nº:</w:t>
      </w:r>
      <w:r>
        <w:rPr>
          <w:rFonts w:eastAsia="Times New Roman" w:cs="Arial" w:ascii="Arial" w:hAnsi="Arial"/>
          <w:lang w:eastAsia="pt-BR"/>
        </w:rPr>
        <w:t>01166492000152</w:t>
        <w:br/>
      </w:r>
      <w:r>
        <w:rPr>
          <w:rFonts w:eastAsia="Times New Roman" w:cs="Arial" w:ascii="Arial" w:hAnsi="Arial"/>
          <w:b/>
          <w:bCs/>
          <w:lang w:eastAsia="pt-BR"/>
        </w:rPr>
        <w:t>Vara do Trabalho:</w:t>
      </w:r>
      <w:r>
        <w:rPr>
          <w:rFonts w:eastAsia="Times New Roman" w:cs="Arial" w:ascii="Arial" w:hAnsi="Arial"/>
          <w:lang w:eastAsia="pt-BR"/>
        </w:rPr>
        <w:t xml:space="preserve"> 31ª Vara do Trabalho da Capital</w:t>
      </w:r>
    </w:p>
    <w:p>
      <w:pPr>
        <w:pStyle w:val="Normal"/>
        <w:suppressAutoHyphens w:val="false"/>
        <w:spacing w:lineRule="auto" w:line="240" w:beforeAutospacing="1" w:afterAutospacing="1"/>
        <w:rPr>
          <w:rFonts w:ascii="Arial" w:hAnsi="Arial" w:eastAsia="Times New Roman" w:cs="Arial"/>
          <w:lang w:eastAsia="pt-BR"/>
        </w:rPr>
      </w:pPr>
      <w:r>
        <w:rPr>
          <w:rFonts w:eastAsia="Times New Roman" w:cs="Arial" w:ascii="Arial" w:hAnsi="Arial"/>
          <w:b/>
          <w:bCs/>
          <w:lang w:eastAsia="pt-BR"/>
        </w:rPr>
        <w:t>AV.16</w:t>
      </w:r>
      <w:r>
        <w:rPr>
          <w:rFonts w:eastAsia="Times New Roman" w:cs="Arial" w:ascii="Arial" w:hAnsi="Arial"/>
          <w:lang w:eastAsia="pt-BR"/>
        </w:rPr>
        <w:t xml:space="preserve"> – Indisponibilidade de Bens</w:t>
        <w:br/>
      </w:r>
      <w:r>
        <w:rPr>
          <w:rFonts w:eastAsia="Times New Roman" w:cs="Arial" w:ascii="Arial" w:hAnsi="Arial"/>
          <w:b/>
          <w:bCs/>
          <w:lang w:eastAsia="pt-BR"/>
        </w:rPr>
        <w:t>Processo nº:</w:t>
      </w:r>
      <w:r>
        <w:rPr>
          <w:rFonts w:eastAsia="Times New Roman" w:cs="Arial" w:ascii="Arial" w:hAnsi="Arial"/>
          <w:lang w:eastAsia="pt-BR"/>
        </w:rPr>
        <w:t xml:space="preserve"> 0010743.68.2024.5030180</w:t>
        <w:br/>
      </w:r>
      <w:r>
        <w:rPr>
          <w:rFonts w:eastAsia="Times New Roman" w:cs="Arial" w:ascii="Arial" w:hAnsi="Arial"/>
          <w:b/>
          <w:bCs/>
          <w:lang w:eastAsia="pt-BR"/>
        </w:rPr>
        <w:t>Vara do Trabalho:</w:t>
      </w:r>
      <w:r>
        <w:rPr>
          <w:rFonts w:eastAsia="Times New Roman" w:cs="Arial" w:ascii="Arial" w:hAnsi="Arial"/>
          <w:lang w:eastAsia="pt-BR"/>
        </w:rPr>
        <w:t xml:space="preserve"> 42ª Vara do Trabalho da Capital</w:t>
      </w:r>
    </w:p>
    <w:p>
      <w:pPr>
        <w:pStyle w:val="Normal"/>
        <w:ind w:start="7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start="72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160"/>
        <w:rPr>
          <w:rFonts w:ascii="Arial" w:hAnsi="Arial" w:cs="Arial"/>
        </w:rPr>
      </w:pPr>
      <w:r>
        <w:rPr>
          <w:rFonts w:cs="Arial" w:ascii="Arial" w:hAnsi="Arial"/>
        </w:rPr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Segoe UI Symbol">
    <w:charset w:val="00" w:characterSet="windows-1252"/>
    <w:family w:val="swiss"/>
    <w:pitch w:val="variable"/>
  </w:font>
  <w:font w:name="AAAUOQå¼«OpenSans">
    <w:charset w:val="00" w:characterSet="windows-125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a7471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Heading3">
    <w:name w:val="heading 3"/>
    <w:basedOn w:val="Normal"/>
    <w:link w:val="Ttulo3Char"/>
    <w:uiPriority w:val="9"/>
    <w:qFormat/>
    <w:rsid w:val="003a7471"/>
    <w:pPr>
      <w:suppressAutoHyphens w:val="false"/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3a7471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3Char" w:customStyle="1">
    <w:name w:val="Título 3 Char"/>
    <w:basedOn w:val="DefaultParagraphFont"/>
    <w:uiPriority w:val="9"/>
    <w:qFormat/>
    <w:rsid w:val="003a7471"/>
    <w:rPr>
      <w:rFonts w:ascii="Times New Roman" w:hAnsi="Times New Roman" w:eastAsia="Times New Roman" w:cs="Times New Roman"/>
      <w:b/>
      <w:bCs/>
      <w:sz w:val="27"/>
      <w:szCs w:val="27"/>
      <w:lang w:eastAsia="pt-BR"/>
    </w:rPr>
  </w:style>
  <w:style w:type="character" w:styleId="Strong">
    <w:name w:val="Strong"/>
    <w:basedOn w:val="DefaultParagraphFont"/>
    <w:uiPriority w:val="22"/>
    <w:qFormat/>
    <w:rsid w:val="003a7471"/>
    <w:rPr>
      <w:b/>
      <w:bCs/>
    </w:rPr>
  </w:style>
  <w:style w:type="character" w:styleId="Hyperlink">
    <w:name w:val="Hyperlink"/>
    <w:basedOn w:val="DefaultParagraphFont"/>
    <w:uiPriority w:val="99"/>
    <w:unhideWhenUsed/>
    <w:rsid w:val="003a7471"/>
    <w:rPr>
      <w:color w:themeColor="hyperlink" w:val="0563C1"/>
      <w:u w:val="single"/>
    </w:rPr>
  </w:style>
  <w:style w:type="character" w:styleId="Ttulo4Char" w:customStyle="1">
    <w:name w:val="Título 4 Char"/>
    <w:basedOn w:val="DefaultParagraphFont"/>
    <w:uiPriority w:val="9"/>
    <w:semiHidden/>
    <w:qFormat/>
    <w:rsid w:val="003a7471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bf" w:val="2E74B5"/>
    </w:rPr>
  </w:style>
  <w:style w:type="character" w:styleId="Emphasis">
    <w:name w:val="Emphasis"/>
    <w:basedOn w:val="DefaultParagraphFont"/>
    <w:uiPriority w:val="20"/>
    <w:qFormat/>
    <w:rsid w:val="003a7471"/>
    <w:rPr>
      <w:i/>
      <w:i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3a747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3a7471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/>
      <w:color w:val="auto"/>
      <w:kern w:val="2"/>
      <w:sz w:val="22"/>
      <w:szCs w:val="22"/>
      <w:lang w:val="pt-BR" w:eastAsia="en-US" w:bidi="ar-SA"/>
      <w14:ligatures w14:val="standardContextual"/>
    </w:rPr>
  </w:style>
  <w:style w:type="paragraph" w:styleId="ListParagraph">
    <w:name w:val="List Paragraph"/>
    <w:basedOn w:val="Normal"/>
    <w:uiPriority w:val="34"/>
    <w:qFormat/>
    <w:rsid w:val="009d4b0e"/>
    <w:pPr>
      <w:spacing w:before="0" w:after="160"/>
      <w:ind w:start="720"/>
      <w:contextualSpacing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arnaldoleiloes.com.br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Application>LibreOffice/26.2.5.2$Windows_X86_64 LibreOffice_project/cd7284b4cbbfeb507e630c1aac019f4157393acb</Application>
  <AppVersion>15.0000</AppVersion>
  <Pages>5</Pages>
  <Words>1458</Words>
  <Characters>7951</Characters>
  <CharactersWithSpaces>9304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2026-07-20T13:28:00Z</dcterms:created>
  <dc:creator>Dep_pessoal8</dc:creator>
  <dc:description/>
  <dc:language>pt-BR</dc:language>
  <cp:lastModifiedBy/>
  <cp:lastPrinted>2025-10-14T16:32:00Z</cp:lastPrinted>
  <dcterms:modified xsi:type="dcterms:W3CDTF">2026-08-24T09:16:09Z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